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color w:val="auto"/>
          <w:highlight w:val="none"/>
        </w:rPr>
      </w:pPr>
      <w:bookmarkStart w:id="0" w:name="_Toc106386264"/>
      <w:bookmarkStart w:id="6" w:name="_GoBack"/>
      <w:bookmarkEnd w:id="6"/>
      <w:r>
        <w:rPr>
          <w:rFonts w:hint="eastAsia"/>
          <w:color w:val="auto"/>
          <w:highlight w:val="none"/>
          <w:lang w:val="en-US" w:eastAsia="zh-CN"/>
        </w:rPr>
        <w:t>望江县医院软件正版化采购</w:t>
      </w:r>
      <w:r>
        <w:rPr>
          <w:rFonts w:hint="eastAsia"/>
          <w:color w:val="auto"/>
          <w:highlight w:val="none"/>
        </w:rPr>
        <w:t>具体要求</w:t>
      </w:r>
      <w:bookmarkEnd w:id="0"/>
      <w:bookmarkStart w:id="1" w:name="_Toc10183297"/>
    </w:p>
    <w:p>
      <w:pPr>
        <w:spacing w:line="240" w:lineRule="auto"/>
        <w:rPr>
          <w:rFonts w:hint="eastAsia"/>
          <w:color w:val="auto"/>
          <w:highlight w:val="none"/>
        </w:rPr>
      </w:pPr>
    </w:p>
    <w:p>
      <w:pPr>
        <w:pStyle w:val="3"/>
        <w:keepNext/>
        <w:keepLines/>
        <w:pageBreakBefore w:val="0"/>
        <w:widowControl w:val="0"/>
        <w:kinsoku/>
        <w:wordWrap/>
        <w:overflowPunct/>
        <w:topLinePunct w:val="0"/>
        <w:autoSpaceDE/>
        <w:autoSpaceDN/>
        <w:bidi w:val="0"/>
        <w:adjustRightInd/>
        <w:snapToGrid/>
        <w:spacing w:before="0" w:beforeAutospacing="0" w:after="0" w:afterAutospacing="0" w:line="240" w:lineRule="auto"/>
        <w:jc w:val="both"/>
        <w:textAlignment w:val="auto"/>
        <w:rPr>
          <w:color w:val="auto"/>
          <w:highlight w:val="none"/>
        </w:rPr>
      </w:pPr>
      <w:r>
        <w:rPr>
          <w:rFonts w:hint="eastAsia"/>
          <w:color w:val="auto"/>
          <w:highlight w:val="none"/>
        </w:rPr>
        <w:t>1.项目内容：</w:t>
      </w:r>
    </w:p>
    <w:p>
      <w:pPr>
        <w:pStyle w:val="9"/>
        <w:pageBreakBefore w:val="0"/>
        <w:kinsoku/>
        <w:wordWrap/>
        <w:overflowPunct/>
        <w:topLinePunct w:val="0"/>
        <w:bidi w:val="0"/>
        <w:snapToGrid/>
        <w:spacing w:beforeAutospacing="0" w:afterAutospacing="0" w:line="240" w:lineRule="auto"/>
        <w:ind w:firstLine="0" w:firstLineChars="0"/>
        <w:rPr>
          <w:rFonts w:ascii="宋体"/>
          <w:color w:val="auto"/>
          <w:sz w:val="24"/>
          <w:szCs w:val="24"/>
          <w:highlight w:val="none"/>
        </w:rPr>
      </w:pPr>
      <w:r>
        <w:rPr>
          <w:rFonts w:hint="eastAsia" w:ascii="宋体"/>
          <w:color w:val="auto"/>
          <w:sz w:val="24"/>
          <w:szCs w:val="24"/>
          <w:highlight w:val="none"/>
          <w:lang w:val="en-US" w:eastAsia="zh-CN"/>
        </w:rPr>
        <w:t>望江县</w:t>
      </w:r>
      <w:r>
        <w:rPr>
          <w:rFonts w:hint="eastAsia" w:ascii="宋体"/>
          <w:color w:val="auto"/>
          <w:sz w:val="24"/>
          <w:szCs w:val="24"/>
          <w:highlight w:val="none"/>
        </w:rPr>
        <w:t>医院系统软件建设项目，详细采购清单如下。</w:t>
      </w:r>
    </w:p>
    <w:p>
      <w:pPr>
        <w:pStyle w:val="9"/>
        <w:pageBreakBefore w:val="0"/>
        <w:kinsoku/>
        <w:wordWrap/>
        <w:overflowPunct/>
        <w:topLinePunct w:val="0"/>
        <w:bidi w:val="0"/>
        <w:snapToGrid/>
        <w:spacing w:beforeAutospacing="0" w:afterAutospacing="0" w:line="240" w:lineRule="auto"/>
        <w:ind w:firstLine="0" w:firstLineChars="0"/>
        <w:rPr>
          <w:rFonts w:ascii="宋体"/>
          <w:color w:val="auto"/>
          <w:sz w:val="24"/>
          <w:szCs w:val="24"/>
          <w:highlight w:val="none"/>
        </w:rPr>
      </w:pPr>
    </w:p>
    <w:tbl>
      <w:tblPr>
        <w:tblStyle w:val="6"/>
        <w:tblW w:w="0" w:type="auto"/>
        <w:tblInd w:w="1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0"/>
        <w:gridCol w:w="2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820" w:type="dxa"/>
            <w:shd w:val="clear" w:color="000000" w:fill="C5D9F1"/>
            <w:noWrap w:val="0"/>
            <w:vAlign w:val="center"/>
          </w:tcPr>
          <w:p>
            <w:pPr>
              <w:pageBreakBefore w:val="0"/>
              <w:widowControl/>
              <w:kinsoku/>
              <w:wordWrap/>
              <w:overflowPunct/>
              <w:topLinePunct w:val="0"/>
              <w:bidi w:val="0"/>
              <w:snapToGrid/>
              <w:spacing w:beforeAutospacing="0" w:afterAutospacing="0" w:line="240" w:lineRule="auto"/>
              <w:jc w:val="center"/>
              <w:rPr>
                <w:rFonts w:ascii="宋体" w:hAnsi="宋体" w:cs="宋体"/>
                <w:b/>
                <w:bCs/>
                <w:color w:val="auto"/>
                <w:kern w:val="0"/>
                <w:sz w:val="22"/>
                <w:szCs w:val="22"/>
                <w:highlight w:val="none"/>
              </w:rPr>
            </w:pPr>
            <w:r>
              <w:rPr>
                <w:rFonts w:ascii="宋体" w:hAnsi="宋体" w:cs="宋体"/>
                <w:b/>
                <w:bCs/>
                <w:color w:val="auto"/>
                <w:kern w:val="0"/>
                <w:sz w:val="22"/>
                <w:szCs w:val="22"/>
                <w:highlight w:val="none"/>
              </w:rPr>
              <w:t>产品名称</w:t>
            </w:r>
          </w:p>
        </w:tc>
        <w:tc>
          <w:tcPr>
            <w:tcW w:w="2407" w:type="dxa"/>
            <w:shd w:val="clear" w:color="000000" w:fill="C5D9F1"/>
            <w:noWrap w:val="0"/>
            <w:vAlign w:val="center"/>
          </w:tcPr>
          <w:p>
            <w:pPr>
              <w:pageBreakBefore w:val="0"/>
              <w:widowControl/>
              <w:kinsoku/>
              <w:wordWrap/>
              <w:overflowPunct/>
              <w:topLinePunct w:val="0"/>
              <w:bidi w:val="0"/>
              <w:snapToGrid/>
              <w:spacing w:beforeAutospacing="0" w:afterAutospacing="0" w:line="240" w:lineRule="auto"/>
              <w:jc w:val="center"/>
              <w:rPr>
                <w:rFonts w:ascii="宋体" w:hAnsi="宋体" w:cs="宋体"/>
                <w:b/>
                <w:bCs/>
                <w:color w:val="auto"/>
                <w:kern w:val="0"/>
                <w:sz w:val="22"/>
                <w:szCs w:val="22"/>
                <w:highlight w:val="none"/>
              </w:rPr>
            </w:pPr>
            <w:r>
              <w:rPr>
                <w:rFonts w:ascii="宋体" w:hAnsi="宋体" w:cs="宋体"/>
                <w:b/>
                <w:bCs/>
                <w:color w:val="auto"/>
                <w:kern w:val="0"/>
                <w:sz w:val="22"/>
                <w:szCs w:val="22"/>
                <w:highlight w:val="no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820" w:type="dxa"/>
            <w:noWrap w:val="0"/>
            <w:vAlign w:val="center"/>
          </w:tcPr>
          <w:p>
            <w:pPr>
              <w:pageBreakBefore w:val="0"/>
              <w:widowControl/>
              <w:kinsoku/>
              <w:wordWrap/>
              <w:overflowPunct/>
              <w:topLinePunct w:val="0"/>
              <w:bidi w:val="0"/>
              <w:snapToGrid/>
              <w:spacing w:beforeAutospacing="0" w:afterAutospacing="0" w:line="240" w:lineRule="auto"/>
              <w:jc w:val="center"/>
              <w:rPr>
                <w:rFonts w:hint="default" w:ascii="宋体" w:hAnsi="宋体" w:cs="宋体"/>
                <w:color w:val="auto"/>
                <w:kern w:val="0"/>
                <w:sz w:val="22"/>
                <w:szCs w:val="22"/>
                <w:highlight w:val="none"/>
              </w:rPr>
            </w:pPr>
            <w:r>
              <w:rPr>
                <w:rFonts w:ascii="宋体" w:hAnsi="宋体" w:cs="宋体"/>
                <w:color w:val="auto"/>
                <w:kern w:val="0"/>
                <w:sz w:val="22"/>
                <w:szCs w:val="22"/>
                <w:highlight w:val="none"/>
              </w:rPr>
              <w:t>桌面操作系统专业升级版或更高版本</w:t>
            </w:r>
          </w:p>
        </w:tc>
        <w:tc>
          <w:tcPr>
            <w:tcW w:w="2407" w:type="dxa"/>
            <w:noWrap w:val="0"/>
            <w:vAlign w:val="center"/>
          </w:tcPr>
          <w:p>
            <w:pPr>
              <w:pageBreakBefore w:val="0"/>
              <w:widowControl/>
              <w:kinsoku/>
              <w:wordWrap/>
              <w:overflowPunct/>
              <w:topLinePunct w:val="0"/>
              <w:bidi w:val="0"/>
              <w:snapToGrid/>
              <w:spacing w:beforeAutospacing="0" w:afterAutospacing="0" w:line="240" w:lineRule="auto"/>
              <w:jc w:val="center"/>
              <w:rPr>
                <w:rFonts w:ascii="宋体" w:hAnsi="宋体" w:cs="宋体"/>
                <w:color w:val="auto"/>
                <w:kern w:val="0"/>
                <w:sz w:val="22"/>
                <w:szCs w:val="22"/>
                <w:highlight w:val="none"/>
              </w:rPr>
            </w:pPr>
            <w:r>
              <w:rPr>
                <w:rFonts w:ascii="宋体" w:hAnsi="宋体" w:cs="宋体"/>
                <w:color w:val="auto"/>
                <w:kern w:val="0"/>
                <w:sz w:val="22"/>
                <w:szCs w:val="22"/>
                <w:highlight w:val="none"/>
                <w:lang w:val="en-US"/>
              </w:rPr>
              <w:t>5</w:t>
            </w:r>
            <w:r>
              <w:rPr>
                <w:rFonts w:ascii="宋体" w:hAnsi="宋体" w:cs="宋体"/>
                <w:color w:val="auto"/>
                <w:kern w:val="0"/>
                <w:sz w:val="22"/>
                <w:szCs w:val="22"/>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820" w:type="dxa"/>
            <w:noWrap w:val="0"/>
            <w:vAlign w:val="center"/>
          </w:tcPr>
          <w:p>
            <w:pPr>
              <w:pageBreakBefore w:val="0"/>
              <w:widowControl/>
              <w:kinsoku/>
              <w:wordWrap/>
              <w:overflowPunct/>
              <w:topLinePunct w:val="0"/>
              <w:bidi w:val="0"/>
              <w:snapToGrid/>
              <w:spacing w:beforeAutospacing="0" w:afterAutospacing="0" w:line="240" w:lineRule="auto"/>
              <w:jc w:val="center"/>
              <w:rPr>
                <w:rFonts w:ascii="宋体" w:hAnsi="宋体" w:cs="宋体"/>
                <w:color w:val="auto"/>
                <w:kern w:val="0"/>
                <w:sz w:val="22"/>
                <w:szCs w:val="22"/>
                <w:highlight w:val="none"/>
              </w:rPr>
            </w:pPr>
            <w:r>
              <w:rPr>
                <w:rFonts w:ascii="宋体" w:hAnsi="宋体" w:cs="宋体"/>
                <w:color w:val="auto"/>
                <w:kern w:val="0"/>
                <w:sz w:val="22"/>
                <w:szCs w:val="22"/>
                <w:highlight w:val="none"/>
              </w:rPr>
              <w:t>服务器</w:t>
            </w:r>
            <w:r>
              <w:rPr>
                <w:rFonts w:ascii="宋体" w:hAnsi="宋体" w:cs="宋体"/>
                <w:color w:val="auto"/>
                <w:kern w:val="0"/>
                <w:sz w:val="22"/>
                <w:szCs w:val="22"/>
                <w:highlight w:val="none"/>
                <w:lang w:val="en-US"/>
              </w:rPr>
              <w:t>操作系统</w:t>
            </w:r>
            <w:r>
              <w:rPr>
                <w:rFonts w:hint="eastAsia" w:ascii="宋体" w:hAnsi="宋体" w:cs="宋体"/>
                <w:color w:val="auto"/>
                <w:kern w:val="0"/>
                <w:sz w:val="22"/>
                <w:szCs w:val="22"/>
                <w:highlight w:val="none"/>
                <w:lang w:val="en-US" w:eastAsia="zh-CN"/>
              </w:rPr>
              <w:t>数据中心</w:t>
            </w:r>
            <w:r>
              <w:rPr>
                <w:rFonts w:ascii="宋体" w:hAnsi="宋体" w:cs="宋体"/>
                <w:color w:val="auto"/>
                <w:kern w:val="0"/>
                <w:sz w:val="22"/>
                <w:szCs w:val="22"/>
                <w:highlight w:val="none"/>
              </w:rPr>
              <w:t>版</w:t>
            </w:r>
          </w:p>
        </w:tc>
        <w:tc>
          <w:tcPr>
            <w:tcW w:w="2407" w:type="dxa"/>
            <w:noWrap w:val="0"/>
            <w:vAlign w:val="center"/>
          </w:tcPr>
          <w:p>
            <w:pPr>
              <w:pageBreakBefore w:val="0"/>
              <w:widowControl/>
              <w:kinsoku/>
              <w:wordWrap/>
              <w:overflowPunct/>
              <w:topLinePunct w:val="0"/>
              <w:bidi w:val="0"/>
              <w:snapToGrid/>
              <w:spacing w:beforeAutospacing="0" w:afterAutospacing="0" w:line="240" w:lineRule="auto"/>
              <w:jc w:val="center"/>
              <w:rPr>
                <w:rFonts w:ascii="宋体" w:hAnsi="宋体" w:cs="宋体"/>
                <w:color w:val="auto"/>
                <w:kern w:val="0"/>
                <w:sz w:val="22"/>
                <w:szCs w:val="22"/>
                <w:highlight w:val="none"/>
              </w:rPr>
            </w:pPr>
            <w:r>
              <w:rPr>
                <w:rFonts w:hint="default" w:ascii="宋体" w:hAnsi="宋体" w:cs="宋体"/>
                <w:color w:val="auto"/>
                <w:kern w:val="0"/>
                <w:sz w:val="22"/>
                <w:szCs w:val="22"/>
                <w:highlight w:val="none"/>
              </w:rPr>
              <w:t>1</w:t>
            </w:r>
            <w:r>
              <w:rPr>
                <w:rFonts w:ascii="宋体" w:hAnsi="宋体" w:cs="宋体"/>
                <w:color w:val="auto"/>
                <w:kern w:val="0"/>
                <w:sz w:val="22"/>
                <w:szCs w:val="22"/>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820" w:type="dxa"/>
            <w:noWrap w:val="0"/>
            <w:vAlign w:val="center"/>
          </w:tcPr>
          <w:p>
            <w:pPr>
              <w:pageBreakBefore w:val="0"/>
              <w:widowControl/>
              <w:kinsoku/>
              <w:wordWrap/>
              <w:overflowPunct/>
              <w:topLinePunct w:val="0"/>
              <w:bidi w:val="0"/>
              <w:snapToGrid/>
              <w:spacing w:beforeAutospacing="0" w:afterAutospacing="0" w:line="240" w:lineRule="auto"/>
              <w:jc w:val="center"/>
              <w:rPr>
                <w:rFonts w:ascii="宋体" w:hAnsi="宋体" w:cs="宋体"/>
                <w:color w:val="auto"/>
                <w:kern w:val="0"/>
                <w:sz w:val="22"/>
                <w:szCs w:val="22"/>
                <w:highlight w:val="none"/>
              </w:rPr>
            </w:pPr>
            <w:r>
              <w:rPr>
                <w:rFonts w:ascii="宋体" w:hAnsi="宋体" w:cs="宋体"/>
                <w:color w:val="auto"/>
                <w:kern w:val="0"/>
                <w:sz w:val="22"/>
                <w:szCs w:val="22"/>
                <w:highlight w:val="none"/>
              </w:rPr>
              <w:t>数据库</w:t>
            </w:r>
            <w:r>
              <w:rPr>
                <w:rFonts w:hint="default" w:ascii="宋体" w:hAnsi="宋体" w:cs="宋体"/>
                <w:color w:val="auto"/>
                <w:kern w:val="0"/>
                <w:sz w:val="22"/>
                <w:szCs w:val="22"/>
                <w:highlight w:val="none"/>
              </w:rPr>
              <w:t>标准版</w:t>
            </w:r>
          </w:p>
        </w:tc>
        <w:tc>
          <w:tcPr>
            <w:tcW w:w="2407" w:type="dxa"/>
            <w:noWrap w:val="0"/>
            <w:vAlign w:val="center"/>
          </w:tcPr>
          <w:p>
            <w:pPr>
              <w:pageBreakBefore w:val="0"/>
              <w:widowControl/>
              <w:kinsoku/>
              <w:wordWrap/>
              <w:overflowPunct/>
              <w:topLinePunct w:val="0"/>
              <w:bidi w:val="0"/>
              <w:snapToGrid/>
              <w:spacing w:beforeAutospacing="0" w:afterAutospacing="0" w:line="240" w:lineRule="auto"/>
              <w:jc w:val="center"/>
              <w:rPr>
                <w:rFonts w:ascii="宋体" w:hAnsi="宋体" w:cs="宋体"/>
                <w:color w:val="auto"/>
                <w:kern w:val="0"/>
                <w:sz w:val="22"/>
                <w:szCs w:val="22"/>
                <w:highlight w:val="none"/>
              </w:rPr>
            </w:pPr>
            <w:r>
              <w:rPr>
                <w:rFonts w:hint="default" w:ascii="宋体" w:hAnsi="宋体" w:cs="宋体"/>
                <w:color w:val="auto"/>
                <w:kern w:val="0"/>
                <w:sz w:val="22"/>
                <w:szCs w:val="22"/>
                <w:highlight w:val="none"/>
              </w:rPr>
              <w:t>1</w:t>
            </w:r>
            <w:r>
              <w:rPr>
                <w:rFonts w:ascii="宋体" w:hAnsi="宋体" w:cs="宋体"/>
                <w:color w:val="auto"/>
                <w:kern w:val="0"/>
                <w:sz w:val="22"/>
                <w:szCs w:val="22"/>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820" w:type="dxa"/>
            <w:noWrap w:val="0"/>
            <w:vAlign w:val="center"/>
          </w:tcPr>
          <w:p>
            <w:pPr>
              <w:pageBreakBefore w:val="0"/>
              <w:widowControl/>
              <w:kinsoku/>
              <w:wordWrap/>
              <w:overflowPunct/>
              <w:topLinePunct w:val="0"/>
              <w:bidi w:val="0"/>
              <w:snapToGrid/>
              <w:spacing w:beforeAutospacing="0" w:afterAutospacing="0" w:line="240" w:lineRule="auto"/>
              <w:jc w:val="center"/>
              <w:rPr>
                <w:rFonts w:ascii="宋体" w:hAnsi="宋体" w:cs="宋体"/>
                <w:color w:val="auto"/>
                <w:kern w:val="0"/>
                <w:sz w:val="22"/>
                <w:szCs w:val="22"/>
                <w:highlight w:val="none"/>
              </w:rPr>
            </w:pPr>
            <w:r>
              <w:rPr>
                <w:rFonts w:ascii="宋体" w:hAnsi="宋体" w:cs="宋体"/>
                <w:color w:val="auto"/>
                <w:kern w:val="0"/>
                <w:sz w:val="22"/>
                <w:szCs w:val="22"/>
                <w:highlight w:val="none"/>
              </w:rPr>
              <w:t>办公软件 标准版</w:t>
            </w:r>
          </w:p>
        </w:tc>
        <w:tc>
          <w:tcPr>
            <w:tcW w:w="2407" w:type="dxa"/>
            <w:noWrap w:val="0"/>
            <w:vAlign w:val="center"/>
          </w:tcPr>
          <w:p>
            <w:pPr>
              <w:pageBreakBefore w:val="0"/>
              <w:widowControl/>
              <w:kinsoku/>
              <w:wordWrap/>
              <w:overflowPunct/>
              <w:topLinePunct w:val="0"/>
              <w:bidi w:val="0"/>
              <w:snapToGrid/>
              <w:spacing w:beforeAutospacing="0" w:afterAutospacing="0" w:line="240" w:lineRule="auto"/>
              <w:jc w:val="center"/>
              <w:rPr>
                <w:rFonts w:ascii="宋体" w:hAnsi="宋体" w:cs="宋体"/>
                <w:color w:val="auto"/>
                <w:kern w:val="0"/>
                <w:sz w:val="22"/>
                <w:szCs w:val="22"/>
                <w:highlight w:val="none"/>
              </w:rPr>
            </w:pPr>
            <w:r>
              <w:rPr>
                <w:rFonts w:ascii="宋体" w:hAnsi="宋体" w:cs="宋体"/>
                <w:color w:val="auto"/>
                <w:kern w:val="0"/>
                <w:sz w:val="22"/>
                <w:szCs w:val="22"/>
                <w:highlight w:val="none"/>
                <w:lang w:val="en-US"/>
              </w:rPr>
              <w:t>5</w:t>
            </w:r>
            <w:r>
              <w:rPr>
                <w:rFonts w:ascii="宋体" w:hAnsi="宋体" w:cs="宋体"/>
                <w:color w:val="auto"/>
                <w:kern w:val="0"/>
                <w:sz w:val="22"/>
                <w:szCs w:val="22"/>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3820" w:type="dxa"/>
            <w:noWrap w:val="0"/>
            <w:vAlign w:val="center"/>
          </w:tcPr>
          <w:p>
            <w:pPr>
              <w:pageBreakBefore w:val="0"/>
              <w:widowControl/>
              <w:kinsoku/>
              <w:wordWrap/>
              <w:overflowPunct/>
              <w:topLinePunct w:val="0"/>
              <w:bidi w:val="0"/>
              <w:snapToGrid/>
              <w:spacing w:beforeAutospacing="0" w:afterAutospacing="0" w:line="240" w:lineRule="auto"/>
              <w:jc w:val="center"/>
              <w:rPr>
                <w:rFonts w:ascii="宋体" w:hAnsi="宋体" w:cs="宋体"/>
                <w:color w:val="auto"/>
                <w:kern w:val="0"/>
                <w:sz w:val="22"/>
                <w:szCs w:val="22"/>
                <w:highlight w:val="none"/>
              </w:rPr>
            </w:pPr>
            <w:r>
              <w:rPr>
                <w:rFonts w:ascii="宋体" w:hAnsi="宋体" w:cs="宋体"/>
                <w:color w:val="auto"/>
                <w:kern w:val="0"/>
                <w:sz w:val="22"/>
                <w:szCs w:val="22"/>
                <w:highlight w:val="none"/>
              </w:rPr>
              <w:t>高级认证工程师技术支持服务</w:t>
            </w:r>
          </w:p>
        </w:tc>
        <w:tc>
          <w:tcPr>
            <w:tcW w:w="2407" w:type="dxa"/>
            <w:noWrap/>
            <w:vAlign w:val="bottom"/>
          </w:tcPr>
          <w:p>
            <w:pPr>
              <w:pageBreakBefore w:val="0"/>
              <w:widowControl/>
              <w:kinsoku/>
              <w:wordWrap/>
              <w:overflowPunct/>
              <w:topLinePunct w:val="0"/>
              <w:bidi w:val="0"/>
              <w:snapToGrid/>
              <w:spacing w:beforeAutospacing="0" w:afterAutospacing="0" w:line="240" w:lineRule="auto"/>
              <w:jc w:val="center"/>
              <w:rPr>
                <w:rFonts w:ascii="等线" w:hAnsi="等线" w:cs="宋体"/>
                <w:color w:val="auto"/>
                <w:kern w:val="0"/>
                <w:sz w:val="22"/>
                <w:szCs w:val="22"/>
                <w:highlight w:val="none"/>
              </w:rPr>
            </w:pPr>
            <w:r>
              <w:rPr>
                <w:rFonts w:hint="default" w:ascii="等线" w:hAnsi="等线" w:cs="宋体"/>
                <w:color w:val="auto"/>
                <w:kern w:val="0"/>
                <w:sz w:val="22"/>
                <w:szCs w:val="22"/>
                <w:highlight w:val="none"/>
              </w:rPr>
              <w:t>3</w:t>
            </w:r>
            <w:r>
              <w:rPr>
                <w:rFonts w:ascii="等线" w:hAnsi="等线" w:cs="宋体"/>
                <w:color w:val="auto"/>
                <w:kern w:val="0"/>
                <w:sz w:val="22"/>
                <w:szCs w:val="22"/>
                <w:highlight w:val="none"/>
              </w:rPr>
              <w:t>年</w:t>
            </w:r>
          </w:p>
        </w:tc>
      </w:tr>
    </w:tbl>
    <w:p>
      <w:pPr>
        <w:pStyle w:val="9"/>
        <w:pageBreakBefore w:val="0"/>
        <w:kinsoku/>
        <w:wordWrap/>
        <w:overflowPunct/>
        <w:topLinePunct w:val="0"/>
        <w:bidi w:val="0"/>
        <w:snapToGrid/>
        <w:spacing w:beforeAutospacing="0" w:afterAutospacing="0" w:line="240" w:lineRule="auto"/>
        <w:ind w:firstLine="0" w:firstLineChars="0"/>
        <w:rPr>
          <w:rFonts w:ascii="宋体"/>
          <w:color w:val="auto"/>
          <w:sz w:val="24"/>
          <w:szCs w:val="24"/>
          <w:highlight w:val="none"/>
        </w:rPr>
      </w:pPr>
    </w:p>
    <w:p>
      <w:pPr>
        <w:pStyle w:val="4"/>
        <w:pageBreakBefore w:val="0"/>
        <w:kinsoku/>
        <w:wordWrap/>
        <w:overflowPunct/>
        <w:topLinePunct w:val="0"/>
        <w:bidi w:val="0"/>
        <w:snapToGrid/>
        <w:spacing w:before="0" w:beforeLines="0" w:beforeAutospacing="0" w:after="0" w:afterLines="0" w:afterAutospacing="0" w:line="240" w:lineRule="auto"/>
        <w:rPr>
          <w:color w:val="auto"/>
          <w:highlight w:val="none"/>
        </w:rPr>
      </w:pPr>
      <w:r>
        <w:rPr>
          <w:rFonts w:hint="eastAsia"/>
          <w:color w:val="auto"/>
          <w:highlight w:val="none"/>
        </w:rPr>
        <w:t>2.软件授权许可要求：</w:t>
      </w:r>
    </w:p>
    <w:p>
      <w:pPr>
        <w:pageBreakBefore w:val="0"/>
        <w:kinsoku/>
        <w:wordWrap/>
        <w:overflowPunct/>
        <w:topLinePunct w:val="0"/>
        <w:autoSpaceDE w:val="0"/>
        <w:autoSpaceDN w:val="0"/>
        <w:bidi w:val="0"/>
        <w:adjustRightInd w:val="0"/>
        <w:snapToGrid/>
        <w:spacing w:beforeAutospacing="0" w:afterAutospacing="0" w:line="240" w:lineRule="auto"/>
        <w:rPr>
          <w:rFonts w:ascii="宋体"/>
          <w:color w:val="auto"/>
          <w:sz w:val="24"/>
          <w:highlight w:val="none"/>
        </w:rPr>
      </w:pPr>
      <w:r>
        <w:rPr>
          <w:rFonts w:hint="eastAsia" w:ascii="宋体"/>
          <w:color w:val="auto"/>
          <w:sz w:val="24"/>
          <w:highlight w:val="none"/>
        </w:rPr>
        <w:t>（1）产品授权许可方式为批量式授权许可。</w:t>
      </w:r>
    </w:p>
    <w:p>
      <w:pPr>
        <w:pageBreakBefore w:val="0"/>
        <w:kinsoku/>
        <w:wordWrap/>
        <w:overflowPunct/>
        <w:topLinePunct w:val="0"/>
        <w:autoSpaceDE w:val="0"/>
        <w:autoSpaceDN w:val="0"/>
        <w:bidi w:val="0"/>
        <w:adjustRightInd w:val="0"/>
        <w:snapToGrid/>
        <w:spacing w:beforeAutospacing="0" w:afterAutospacing="0" w:line="240" w:lineRule="auto"/>
        <w:rPr>
          <w:rFonts w:ascii="宋体"/>
          <w:color w:val="auto"/>
          <w:sz w:val="24"/>
          <w:highlight w:val="none"/>
        </w:rPr>
      </w:pPr>
      <w:r>
        <w:rPr>
          <w:rFonts w:hint="eastAsia" w:ascii="宋体"/>
          <w:color w:val="auto"/>
          <w:sz w:val="24"/>
          <w:highlight w:val="none"/>
        </w:rPr>
        <w:t>（2）可任意降级使用早前历史版本，不得与</w:t>
      </w:r>
      <w:r>
        <w:rPr>
          <w:rFonts w:ascii="宋体"/>
          <w:color w:val="auto"/>
          <w:sz w:val="24"/>
          <w:highlight w:val="none"/>
        </w:rPr>
        <w:t>计算机</w:t>
      </w:r>
      <w:r>
        <w:rPr>
          <w:rFonts w:hint="eastAsia" w:ascii="宋体"/>
          <w:color w:val="auto"/>
          <w:sz w:val="24"/>
          <w:highlight w:val="none"/>
        </w:rPr>
        <w:t>硬件绑定，当硬件损坏或更新换代以后，该授权还可用于更换后的新硬件。</w:t>
      </w:r>
    </w:p>
    <w:p>
      <w:pPr>
        <w:pStyle w:val="10"/>
        <w:pageBreakBefore w:val="0"/>
        <w:kinsoku/>
        <w:wordWrap/>
        <w:overflowPunct/>
        <w:topLinePunct w:val="0"/>
        <w:bidi w:val="0"/>
        <w:snapToGrid/>
        <w:spacing w:beforeAutospacing="0" w:afterAutospacing="0" w:line="240" w:lineRule="auto"/>
        <w:rPr>
          <w:rFonts w:ascii="宋体"/>
          <w:color w:val="auto"/>
          <w:sz w:val="24"/>
          <w:highlight w:val="none"/>
        </w:rPr>
      </w:pPr>
      <w:r>
        <w:rPr>
          <w:rFonts w:hint="eastAsia"/>
          <w:color w:val="auto"/>
          <w:sz w:val="24"/>
          <w:highlight w:val="none"/>
        </w:rPr>
        <w:t>（3）软件产品授权许可</w:t>
      </w:r>
      <w:r>
        <w:rPr>
          <w:color w:val="auto"/>
          <w:sz w:val="24"/>
          <w:highlight w:val="none"/>
        </w:rPr>
        <w:t>应保障最终用户权益不受侵犯，</w:t>
      </w:r>
      <w:r>
        <w:rPr>
          <w:rFonts w:hint="eastAsia"/>
          <w:color w:val="auto"/>
          <w:sz w:val="24"/>
          <w:highlight w:val="none"/>
        </w:rPr>
        <w:t>授权至最终用户单位为</w:t>
      </w:r>
      <w:r>
        <w:rPr>
          <w:rFonts w:hint="eastAsia"/>
          <w:b/>
          <w:bCs/>
          <w:color w:val="auto"/>
          <w:sz w:val="24"/>
          <w:highlight w:val="none"/>
        </w:rPr>
        <w:t>“</w:t>
      </w:r>
      <w:r>
        <w:rPr>
          <w:rFonts w:hint="default"/>
          <w:b/>
          <w:bCs/>
          <w:color w:val="auto"/>
          <w:sz w:val="24"/>
          <w:highlight w:val="none"/>
          <w:lang w:val="en-US"/>
        </w:rPr>
        <w:t>望江县</w:t>
      </w:r>
      <w:r>
        <w:rPr>
          <w:rFonts w:hint="eastAsia"/>
          <w:b/>
          <w:bCs/>
          <w:color w:val="auto"/>
          <w:sz w:val="24"/>
          <w:highlight w:val="none"/>
        </w:rPr>
        <w:t>医院”</w:t>
      </w:r>
      <w:r>
        <w:rPr>
          <w:rFonts w:hint="eastAsia"/>
          <w:color w:val="auto"/>
          <w:sz w:val="24"/>
          <w:highlight w:val="none"/>
        </w:rPr>
        <w:t>。</w:t>
      </w:r>
    </w:p>
    <w:p>
      <w:pPr>
        <w:pStyle w:val="4"/>
        <w:pageBreakBefore w:val="0"/>
        <w:kinsoku/>
        <w:wordWrap/>
        <w:overflowPunct/>
        <w:topLinePunct w:val="0"/>
        <w:bidi w:val="0"/>
        <w:snapToGrid/>
        <w:spacing w:before="0" w:beforeLines="0" w:beforeAutospacing="0" w:after="0" w:afterLines="0" w:afterAutospacing="0" w:line="240" w:lineRule="auto"/>
        <w:rPr>
          <w:color w:val="auto"/>
          <w:highlight w:val="none"/>
        </w:rPr>
      </w:pPr>
      <w:r>
        <w:rPr>
          <w:rFonts w:hint="eastAsia"/>
          <w:color w:val="auto"/>
          <w:highlight w:val="none"/>
        </w:rPr>
        <w:t>3.商务要求</w:t>
      </w:r>
    </w:p>
    <w:p>
      <w:pPr>
        <w:pageBreakBefore w:val="0"/>
        <w:kinsoku/>
        <w:wordWrap/>
        <w:overflowPunct/>
        <w:topLinePunct w:val="0"/>
        <w:autoSpaceDE w:val="0"/>
        <w:autoSpaceDN w:val="0"/>
        <w:bidi w:val="0"/>
        <w:adjustRightInd w:val="0"/>
        <w:snapToGrid/>
        <w:spacing w:beforeAutospacing="0" w:afterAutospacing="0" w:line="240" w:lineRule="auto"/>
        <w:rPr>
          <w:rFonts w:ascii="宋体"/>
          <w:color w:val="auto"/>
          <w:sz w:val="24"/>
          <w:highlight w:val="none"/>
        </w:rPr>
      </w:pPr>
      <w:r>
        <w:rPr>
          <w:rFonts w:hint="eastAsia" w:ascii="宋体"/>
          <w:color w:val="auto"/>
          <w:sz w:val="24"/>
          <w:highlight w:val="none"/>
          <w:u w:val="none"/>
        </w:rPr>
        <w:t>（1）</w:t>
      </w:r>
      <w:r>
        <w:rPr>
          <w:rFonts w:hint="eastAsia" w:ascii="宋体"/>
          <w:color w:val="auto"/>
          <w:sz w:val="24"/>
          <w:highlight w:val="none"/>
          <w:u w:val="single"/>
        </w:rPr>
        <w:t>投标人须协助医院解决省市各级正版化领导小组的软件正版化检查。</w:t>
      </w:r>
      <w:r>
        <w:rPr>
          <w:rFonts w:hint="eastAsia" w:ascii="宋体"/>
          <w:b/>
          <w:bCs/>
          <w:color w:val="auto"/>
          <w:sz w:val="24"/>
          <w:highlight w:val="none"/>
        </w:rPr>
        <w:t>对于以上划线内容出具书面正式承诺函并盖投标人公章，如投标文件中未承诺作废标处理。</w:t>
      </w:r>
    </w:p>
    <w:p>
      <w:pPr>
        <w:pageBreakBefore w:val="0"/>
        <w:kinsoku/>
        <w:wordWrap/>
        <w:overflowPunct/>
        <w:topLinePunct w:val="0"/>
        <w:autoSpaceDE w:val="0"/>
        <w:autoSpaceDN w:val="0"/>
        <w:bidi w:val="0"/>
        <w:adjustRightInd w:val="0"/>
        <w:snapToGrid/>
        <w:spacing w:beforeAutospacing="0" w:afterAutospacing="0" w:line="240" w:lineRule="auto"/>
        <w:rPr>
          <w:rFonts w:ascii="宋体"/>
          <w:color w:val="auto"/>
          <w:sz w:val="24"/>
          <w:highlight w:val="none"/>
        </w:rPr>
      </w:pPr>
      <w:r>
        <w:rPr>
          <w:rFonts w:hint="eastAsia" w:ascii="宋体"/>
          <w:color w:val="auto"/>
          <w:sz w:val="24"/>
          <w:highlight w:val="none"/>
        </w:rPr>
        <w:t>（2）中标人需在签订合同后的</w:t>
      </w:r>
      <w:r>
        <w:rPr>
          <w:rFonts w:ascii="宋体"/>
          <w:color w:val="auto"/>
          <w:sz w:val="24"/>
          <w:highlight w:val="none"/>
        </w:rPr>
        <w:t>3</w:t>
      </w:r>
      <w:r>
        <w:rPr>
          <w:rFonts w:hint="eastAsia" w:ascii="宋体"/>
          <w:color w:val="auto"/>
          <w:sz w:val="24"/>
          <w:highlight w:val="none"/>
        </w:rPr>
        <w:t>0个工作日内完成货物交付。</w:t>
      </w:r>
    </w:p>
    <w:p>
      <w:pPr>
        <w:pageBreakBefore w:val="0"/>
        <w:kinsoku/>
        <w:wordWrap/>
        <w:overflowPunct/>
        <w:topLinePunct w:val="0"/>
        <w:autoSpaceDE w:val="0"/>
        <w:autoSpaceDN w:val="0"/>
        <w:bidi w:val="0"/>
        <w:adjustRightInd w:val="0"/>
        <w:snapToGrid/>
        <w:spacing w:beforeAutospacing="0" w:afterAutospacing="0" w:line="240" w:lineRule="auto"/>
        <w:rPr>
          <w:rFonts w:hint="eastAsia" w:ascii="宋体"/>
          <w:b/>
          <w:bCs/>
          <w:color w:val="auto"/>
          <w:sz w:val="24"/>
          <w:highlight w:val="none"/>
        </w:rPr>
      </w:pPr>
      <w:r>
        <w:rPr>
          <w:rFonts w:hint="eastAsia" w:ascii="宋体"/>
          <w:color w:val="auto"/>
          <w:sz w:val="24"/>
          <w:highlight w:val="none"/>
          <w:u w:val="none"/>
        </w:rPr>
        <w:t>（3）</w:t>
      </w:r>
      <w:r>
        <w:rPr>
          <w:rFonts w:hint="eastAsia" w:ascii="宋体"/>
          <w:color w:val="auto"/>
          <w:sz w:val="24"/>
          <w:highlight w:val="none"/>
          <w:u w:val="single"/>
        </w:rPr>
        <w:t>投标人签署合同后的三年内（以合同签订之日起计算），在当前购买的软件清单范围内，协助医院完成产品升级更新和部署（同时允许医院降级使用所购产品的早前版本），并帮助医院逐步完善知识产权内部管理规范，协助解决与本次招标采购的软件授权相关问题或纠纷。</w:t>
      </w:r>
      <w:r>
        <w:rPr>
          <w:rFonts w:hint="eastAsia" w:ascii="宋体"/>
          <w:b/>
          <w:bCs/>
          <w:color w:val="auto"/>
          <w:sz w:val="24"/>
          <w:highlight w:val="none"/>
        </w:rPr>
        <w:t>对于以上划线内容出具书面正式承诺函并盖投标人公章，如投标文件中未承诺做废标处理。</w:t>
      </w:r>
    </w:p>
    <w:p>
      <w:pPr>
        <w:pStyle w:val="2"/>
        <w:spacing w:line="240" w:lineRule="auto"/>
        <w:rPr>
          <w:rFonts w:hint="eastAsia" w:ascii="宋体"/>
          <w:color w:val="auto"/>
          <w:sz w:val="24"/>
          <w:highlight w:val="none"/>
        </w:rPr>
      </w:pPr>
      <w:r>
        <w:rPr>
          <w:rFonts w:hint="eastAsia" w:ascii="等线" w:hAnsi="等线" w:eastAsia="等线" w:cs="等线"/>
          <w:color w:val="auto"/>
          <w:sz w:val="24"/>
          <w:szCs w:val="24"/>
          <w:highlight w:val="none"/>
          <w:lang w:eastAsia="zh-CN"/>
        </w:rPr>
        <w:t>（</w:t>
      </w:r>
      <w:r>
        <w:rPr>
          <w:rFonts w:hint="eastAsia" w:ascii="等线" w:hAnsi="等线" w:eastAsia="等线" w:cs="等线"/>
          <w:color w:val="auto"/>
          <w:sz w:val="24"/>
          <w:szCs w:val="24"/>
          <w:highlight w:val="none"/>
          <w:lang w:val="en-US" w:eastAsia="zh-CN"/>
        </w:rPr>
        <w:t>4</w:t>
      </w:r>
      <w:r>
        <w:rPr>
          <w:rFonts w:hint="eastAsia" w:ascii="等线" w:hAnsi="等线" w:eastAsia="等线" w:cs="等线"/>
          <w:color w:val="auto"/>
          <w:sz w:val="24"/>
          <w:szCs w:val="24"/>
          <w:highlight w:val="none"/>
          <w:lang w:eastAsia="zh-CN"/>
        </w:rPr>
        <w:t>）</w:t>
      </w:r>
      <w:r>
        <w:rPr>
          <w:rFonts w:hint="eastAsia" w:ascii="等线" w:hAnsi="等线" w:eastAsia="等线" w:cs="等线"/>
          <w:color w:val="auto"/>
          <w:sz w:val="24"/>
          <w:szCs w:val="24"/>
          <w:highlight w:val="none"/>
        </w:rPr>
        <w:t>投标人需承诺：采购人在合同签订后的</w:t>
      </w:r>
      <w:r>
        <w:rPr>
          <w:rFonts w:hint="eastAsia" w:ascii="等线" w:hAnsi="等线" w:eastAsia="等线" w:cs="等线"/>
          <w:color w:val="auto"/>
          <w:sz w:val="24"/>
          <w:szCs w:val="24"/>
          <w:highlight w:val="none"/>
          <w:lang w:val="en-US" w:eastAsia="zh-CN"/>
        </w:rPr>
        <w:t>三</w:t>
      </w:r>
      <w:r>
        <w:rPr>
          <w:rFonts w:hint="eastAsia" w:ascii="等线" w:hAnsi="等线" w:eastAsia="等线" w:cs="等线"/>
          <w:color w:val="auto"/>
          <w:sz w:val="24"/>
          <w:szCs w:val="24"/>
          <w:highlight w:val="none"/>
        </w:rPr>
        <w:t>年内全院使用（具体使用数量不限于本次招标清单中所列明的软件授权数量）我方投标的数据库软件、桌面操作系统、办公软件及服务器操作系统软件，如遭遇货物原生厂商（版权所有人）就上述软件的使用进行侵权追责（包括但不限于法律诉讼），则所有责任或风险、直接损害赔偿等全部由中标人承担。</w:t>
      </w:r>
    </w:p>
    <w:p>
      <w:pPr>
        <w:pStyle w:val="4"/>
        <w:pageBreakBefore w:val="0"/>
        <w:kinsoku/>
        <w:wordWrap/>
        <w:overflowPunct/>
        <w:topLinePunct w:val="0"/>
        <w:bidi w:val="0"/>
        <w:snapToGrid/>
        <w:spacing w:before="0" w:beforeLines="0" w:beforeAutospacing="0" w:after="0" w:afterLines="0" w:afterAutospacing="0" w:line="240" w:lineRule="auto"/>
        <w:rPr>
          <w:rFonts w:ascii="仿宋" w:hAnsi="仿宋" w:eastAsia="仿宋" w:cs="仿宋"/>
          <w:color w:val="auto"/>
          <w:kern w:val="0"/>
          <w:highlight w:val="none"/>
          <w:lang w:bidi="ar"/>
        </w:rPr>
      </w:pPr>
      <w:r>
        <w:rPr>
          <w:rFonts w:hint="eastAsia"/>
          <w:color w:val="auto"/>
          <w:highlight w:val="none"/>
        </w:rPr>
        <w:t>4</w:t>
      </w:r>
      <w:r>
        <w:rPr>
          <w:color w:val="auto"/>
          <w:highlight w:val="none"/>
        </w:rPr>
        <w:t>.</w:t>
      </w:r>
      <w:r>
        <w:rPr>
          <w:rFonts w:hint="eastAsia"/>
          <w:color w:val="auto"/>
          <w:highlight w:val="none"/>
        </w:rPr>
        <w:t>售后服务要求：</w:t>
      </w:r>
    </w:p>
    <w:p>
      <w:pPr>
        <w:pageBreakBefore w:val="0"/>
        <w:kinsoku/>
        <w:wordWrap/>
        <w:overflowPunct/>
        <w:topLinePunct w:val="0"/>
        <w:autoSpaceDE w:val="0"/>
        <w:autoSpaceDN w:val="0"/>
        <w:bidi w:val="0"/>
        <w:adjustRightInd w:val="0"/>
        <w:snapToGrid/>
        <w:spacing w:beforeAutospacing="0" w:afterAutospacing="0" w:line="240" w:lineRule="auto"/>
        <w:rPr>
          <w:rFonts w:ascii="宋体"/>
          <w:color w:val="auto"/>
          <w:sz w:val="24"/>
          <w:highlight w:val="none"/>
        </w:rPr>
      </w:pPr>
      <w:r>
        <w:rPr>
          <w:rFonts w:hint="eastAsia" w:ascii="宋体"/>
          <w:color w:val="auto"/>
          <w:sz w:val="24"/>
          <w:highlight w:val="none"/>
        </w:rPr>
        <w:t>（1）免费维保要求为：产品生命周期内，原厂免费提供5*8电话和邮件技术支持服务。</w:t>
      </w:r>
    </w:p>
    <w:p>
      <w:pPr>
        <w:pageBreakBefore w:val="0"/>
        <w:kinsoku/>
        <w:wordWrap/>
        <w:overflowPunct/>
        <w:topLinePunct w:val="0"/>
        <w:autoSpaceDE w:val="0"/>
        <w:autoSpaceDN w:val="0"/>
        <w:bidi w:val="0"/>
        <w:adjustRightInd w:val="0"/>
        <w:snapToGrid/>
        <w:spacing w:beforeAutospacing="0" w:afterAutospacing="0" w:line="240" w:lineRule="auto"/>
        <w:rPr>
          <w:rFonts w:ascii="宋体"/>
          <w:color w:val="auto"/>
          <w:sz w:val="24"/>
          <w:highlight w:val="none"/>
        </w:rPr>
      </w:pPr>
      <w:r>
        <w:rPr>
          <w:rFonts w:hint="eastAsia" w:ascii="宋体"/>
          <w:color w:val="auto"/>
          <w:sz w:val="24"/>
          <w:highlight w:val="none"/>
        </w:rPr>
        <w:t>（2）投标人在1年服务期内根据院方要求提供产品测试环境搭建和部署</w:t>
      </w:r>
      <w:r>
        <w:rPr>
          <w:rFonts w:ascii="宋体"/>
          <w:color w:val="auto"/>
          <w:sz w:val="24"/>
          <w:highlight w:val="none"/>
        </w:rPr>
        <w:t>。</w:t>
      </w:r>
    </w:p>
    <w:p>
      <w:pPr>
        <w:pageBreakBefore w:val="0"/>
        <w:kinsoku/>
        <w:wordWrap/>
        <w:overflowPunct/>
        <w:topLinePunct w:val="0"/>
        <w:autoSpaceDE w:val="0"/>
        <w:autoSpaceDN w:val="0"/>
        <w:bidi w:val="0"/>
        <w:adjustRightInd w:val="0"/>
        <w:snapToGrid/>
        <w:spacing w:beforeAutospacing="0" w:afterAutospacing="0" w:line="240" w:lineRule="auto"/>
        <w:rPr>
          <w:rFonts w:ascii="宋体"/>
          <w:color w:val="auto"/>
          <w:sz w:val="24"/>
          <w:highlight w:val="none"/>
        </w:rPr>
      </w:pPr>
      <w:r>
        <w:rPr>
          <w:rFonts w:hint="eastAsia" w:ascii="宋体"/>
          <w:color w:val="auto"/>
          <w:sz w:val="24"/>
          <w:highlight w:val="none"/>
        </w:rPr>
        <w:t>（3）投标人免费提供1次涵盖本次投标产品最新功能特点和使用技巧培训，具体培训内容和计划由双方协商后确定。</w:t>
      </w:r>
    </w:p>
    <w:p>
      <w:pPr>
        <w:pageBreakBefore w:val="0"/>
        <w:kinsoku/>
        <w:wordWrap/>
        <w:overflowPunct/>
        <w:topLinePunct w:val="0"/>
        <w:autoSpaceDE w:val="0"/>
        <w:autoSpaceDN w:val="0"/>
        <w:bidi w:val="0"/>
        <w:adjustRightInd w:val="0"/>
        <w:snapToGrid/>
        <w:spacing w:beforeAutospacing="0" w:afterAutospacing="0" w:line="240" w:lineRule="auto"/>
        <w:rPr>
          <w:rFonts w:hint="eastAsia" w:ascii="宋体"/>
          <w:color w:val="auto"/>
          <w:sz w:val="24"/>
          <w:highlight w:val="none"/>
        </w:rPr>
      </w:pPr>
      <w:r>
        <w:rPr>
          <w:rFonts w:hint="eastAsia" w:ascii="宋体"/>
          <w:color w:val="auto"/>
          <w:sz w:val="24"/>
          <w:highlight w:val="none"/>
        </w:rPr>
        <w:t>（4）投标人在售后服务期内免费提供年度产品健康使用巡检、现场紧急故障支持等多种服务。</w:t>
      </w:r>
    </w:p>
    <w:p>
      <w:pPr>
        <w:pageBreakBefore w:val="0"/>
        <w:kinsoku/>
        <w:wordWrap/>
        <w:overflowPunct/>
        <w:topLinePunct w:val="0"/>
        <w:autoSpaceDE w:val="0"/>
        <w:autoSpaceDN w:val="0"/>
        <w:bidi w:val="0"/>
        <w:adjustRightInd w:val="0"/>
        <w:snapToGrid/>
        <w:spacing w:beforeAutospacing="0" w:afterAutospacing="0" w:line="240" w:lineRule="auto"/>
        <w:rPr>
          <w:rFonts w:hint="eastAsia" w:ascii="宋体"/>
          <w:color w:val="auto"/>
          <w:sz w:val="24"/>
          <w:highlight w:val="none"/>
        </w:rPr>
      </w:pPr>
      <w:r>
        <w:rPr>
          <w:rFonts w:hint="eastAsia" w:ascii="宋体"/>
          <w:color w:val="auto"/>
          <w:sz w:val="24"/>
          <w:highlight w:val="none"/>
        </w:rPr>
        <w:t>（5）投标人在投标文件中承诺的其它服务（根据评分要求自拟）</w:t>
      </w:r>
    </w:p>
    <w:p>
      <w:pPr>
        <w:pStyle w:val="4"/>
        <w:pageBreakBefore w:val="0"/>
        <w:kinsoku/>
        <w:wordWrap/>
        <w:overflowPunct/>
        <w:topLinePunct w:val="0"/>
        <w:bidi w:val="0"/>
        <w:snapToGrid/>
        <w:spacing w:before="0" w:beforeLines="0" w:beforeAutospacing="0" w:after="0" w:afterLines="0" w:afterAutospacing="0" w:line="240" w:lineRule="auto"/>
        <w:rPr>
          <w:rFonts w:ascii="仿宋" w:hAnsi="仿宋" w:eastAsia="仿宋" w:cs="仿宋"/>
          <w:color w:val="auto"/>
          <w:kern w:val="0"/>
          <w:highlight w:val="none"/>
          <w:lang w:bidi="ar"/>
        </w:rPr>
      </w:pPr>
      <w:r>
        <w:rPr>
          <w:rFonts w:hint="eastAsia" w:ascii="仿宋" w:hAnsi="仿宋" w:eastAsia="仿宋" w:cs="仿宋"/>
          <w:color w:val="auto"/>
          <w:kern w:val="0"/>
          <w:highlight w:val="none"/>
          <w:lang w:bidi="ar"/>
        </w:rPr>
        <w:t>5.</w:t>
      </w:r>
      <w:r>
        <w:rPr>
          <w:rFonts w:ascii="仿宋" w:hAnsi="仿宋" w:eastAsia="仿宋" w:cs="仿宋"/>
          <w:color w:val="auto"/>
          <w:kern w:val="0"/>
          <w:highlight w:val="none"/>
          <w:lang w:bidi="ar"/>
        </w:rPr>
        <w:t xml:space="preserve"> </w:t>
      </w:r>
      <w:r>
        <w:rPr>
          <w:rFonts w:hint="eastAsia"/>
          <w:color w:val="auto"/>
          <w:highlight w:val="none"/>
        </w:rPr>
        <w:t>软件技术参数要求：</w:t>
      </w:r>
    </w:p>
    <w:p>
      <w:pPr>
        <w:pStyle w:val="11"/>
        <w:pageBreakBefore w:val="0"/>
        <w:kinsoku/>
        <w:wordWrap/>
        <w:overflowPunct/>
        <w:topLinePunct w:val="0"/>
        <w:bidi w:val="0"/>
        <w:snapToGrid/>
        <w:spacing w:before="0" w:beforeAutospacing="0" w:after="0" w:afterAutospacing="0" w:line="240" w:lineRule="auto"/>
        <w:ind w:firstLine="480" w:firstLineChars="200"/>
        <w:rPr>
          <w:rFonts w:ascii="宋体" w:hAnsi="宋体" w:eastAsia="宋体" w:cs="宋体"/>
          <w:color w:val="auto"/>
          <w:kern w:val="2"/>
          <w:sz w:val="24"/>
          <w:szCs w:val="24"/>
          <w:highlight w:val="none"/>
        </w:rPr>
      </w:pPr>
      <w:r>
        <w:rPr>
          <w:rFonts w:ascii="宋体" w:hAnsi="宋体" w:eastAsia="宋体" w:cs="宋体"/>
          <w:color w:val="auto"/>
          <w:kern w:val="2"/>
          <w:sz w:val="24"/>
          <w:szCs w:val="24"/>
          <w:highlight w:val="none"/>
        </w:rPr>
        <w:t>（1）以下技术参数要求投标人（投标产品）必须全部满足。在宣布投标人中标后的30日内，招标人将根据兼容性要求及下列产品具体参数要求，在招标人实际使用环境中对中标人所投产品进行兼容性和技术参数复核测试，如发现中标人（所投产品）无法满足招标要求或涉嫌虚假应标的，将取消其中标资格，报采购监管部门依法处理。</w:t>
      </w:r>
    </w:p>
    <w:p>
      <w:pPr>
        <w:pageBreakBefore w:val="0"/>
        <w:widowControl/>
        <w:kinsoku/>
        <w:wordWrap/>
        <w:overflowPunct/>
        <w:topLinePunct w:val="0"/>
        <w:bidi w:val="0"/>
        <w:snapToGrid/>
        <w:spacing w:beforeAutospacing="0" w:afterAutospacing="0" w:line="240" w:lineRule="auto"/>
        <w:ind w:firstLine="480" w:firstLineChars="200"/>
        <w:jc w:val="left"/>
        <w:rPr>
          <w:rFonts w:hint="eastAsia" w:ascii="宋体"/>
          <w:color w:val="auto"/>
          <w:sz w:val="24"/>
          <w:highlight w:val="none"/>
        </w:rPr>
      </w:pPr>
      <w:r>
        <w:rPr>
          <w:rFonts w:hint="eastAsia" w:ascii="宋体" w:hAnsi="宋体" w:eastAsia="宋体" w:cs="宋体"/>
          <w:color w:val="auto"/>
          <w:sz w:val="24"/>
          <w:highlight w:val="none"/>
        </w:rPr>
        <w:t>（2）</w:t>
      </w:r>
      <w:r>
        <w:rPr>
          <w:rFonts w:ascii="宋体" w:hAnsi="宋体" w:eastAsia="宋体" w:cs="宋体"/>
          <w:color w:val="auto"/>
          <w:sz w:val="24"/>
          <w:highlight w:val="none"/>
        </w:rPr>
        <w:t>投标人投标产品必须全部符合医院应用软件和IT设备对操作系统的兼容性要求，</w:t>
      </w:r>
      <w:r>
        <w:rPr>
          <w:rFonts w:hint="eastAsia" w:ascii="宋体" w:hAnsi="宋体" w:eastAsia="宋体" w:cs="宋体"/>
          <w:color w:val="auto"/>
          <w:sz w:val="24"/>
          <w:highlight w:val="none"/>
        </w:rPr>
        <w:t>投标产品须为同一品牌，</w:t>
      </w:r>
      <w:r>
        <w:rPr>
          <w:rFonts w:ascii="宋体" w:hAnsi="宋体" w:eastAsia="宋体" w:cs="宋体"/>
          <w:color w:val="auto"/>
          <w:sz w:val="24"/>
          <w:highlight w:val="none"/>
        </w:rPr>
        <w:t>投标人投标前应自行勘察项目现场（使用现场境、软件环境及所涉及的硬件设备），投标人因未及时勘察现场而导致的投标产品兼容性、性能参数或报价错误，投标人承担全部后果。</w:t>
      </w:r>
    </w:p>
    <w:tbl>
      <w:tblPr>
        <w:tblStyle w:val="6"/>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22"/>
        <w:gridCol w:w="7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 w:hRule="atLeast"/>
          <w:jc w:val="center"/>
        </w:trPr>
        <w:tc>
          <w:tcPr>
            <w:tcW w:w="1322" w:type="dxa"/>
            <w:noWrap w:val="0"/>
            <w:tcMar>
              <w:left w:w="108" w:type="dxa"/>
              <w:right w:w="108" w:type="dxa"/>
            </w:tcMar>
            <w:vAlign w:val="top"/>
          </w:tcPr>
          <w:p>
            <w:pPr>
              <w:pageBreakBefore w:val="0"/>
              <w:widowControl/>
              <w:kinsoku/>
              <w:wordWrap/>
              <w:overflowPunct/>
              <w:topLinePunct w:val="0"/>
              <w:bidi w:val="0"/>
              <w:snapToGrid/>
              <w:spacing w:beforeAutospacing="0" w:afterAutospacing="0" w:line="240" w:lineRule="auto"/>
              <w:jc w:val="center"/>
              <w:rPr>
                <w:color w:val="auto"/>
                <w:szCs w:val="21"/>
                <w:highlight w:val="none"/>
              </w:rPr>
            </w:pPr>
            <w:r>
              <w:rPr>
                <w:rFonts w:ascii="宋体" w:hAnsi="宋体" w:cs="宋体"/>
                <w:b/>
                <w:color w:val="auto"/>
                <w:kern w:val="0"/>
                <w:szCs w:val="21"/>
                <w:highlight w:val="none"/>
                <w:lang w:bidi="ar"/>
              </w:rPr>
              <w:t>产品分类</w:t>
            </w:r>
          </w:p>
        </w:tc>
        <w:tc>
          <w:tcPr>
            <w:tcW w:w="7604" w:type="dxa"/>
            <w:noWrap w:val="0"/>
            <w:tcMar>
              <w:left w:w="108" w:type="dxa"/>
              <w:right w:w="108" w:type="dxa"/>
            </w:tcMar>
            <w:vAlign w:val="top"/>
          </w:tcPr>
          <w:p>
            <w:pPr>
              <w:pageBreakBefore w:val="0"/>
              <w:widowControl/>
              <w:kinsoku/>
              <w:wordWrap/>
              <w:overflowPunct/>
              <w:topLinePunct w:val="0"/>
              <w:bidi w:val="0"/>
              <w:snapToGrid/>
              <w:spacing w:beforeAutospacing="0" w:afterAutospacing="0" w:line="240" w:lineRule="auto"/>
              <w:jc w:val="center"/>
              <w:rPr>
                <w:color w:val="auto"/>
                <w:szCs w:val="21"/>
                <w:highlight w:val="none"/>
              </w:rPr>
            </w:pPr>
            <w:r>
              <w:rPr>
                <w:rFonts w:ascii="宋体" w:hAnsi="宋体" w:cs="宋体"/>
                <w:b/>
                <w:color w:val="auto"/>
                <w:kern w:val="0"/>
                <w:szCs w:val="21"/>
                <w:highlight w:val="none"/>
                <w:lang w:bidi="ar"/>
              </w:rPr>
              <w:t>技术参数描述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74" w:hRule="atLeast"/>
          <w:jc w:val="center"/>
        </w:trPr>
        <w:tc>
          <w:tcPr>
            <w:tcW w:w="1322" w:type="dxa"/>
            <w:noWrap w:val="0"/>
            <w:tcMar>
              <w:left w:w="108" w:type="dxa"/>
              <w:right w:w="108" w:type="dxa"/>
            </w:tcMar>
            <w:vAlign w:val="top"/>
          </w:tcPr>
          <w:p>
            <w:pPr>
              <w:pageBreakBefore w:val="0"/>
              <w:widowControl/>
              <w:kinsoku/>
              <w:wordWrap/>
              <w:overflowPunct/>
              <w:topLinePunct w:val="0"/>
              <w:bidi w:val="0"/>
              <w:snapToGrid/>
              <w:spacing w:beforeAutospacing="0" w:afterAutospacing="0" w:line="240" w:lineRule="auto"/>
              <w:jc w:val="left"/>
              <w:rPr>
                <w:rFonts w:ascii="宋体" w:hAnsi="宋体"/>
                <w:color w:val="auto"/>
                <w:szCs w:val="21"/>
                <w:highlight w:val="none"/>
              </w:rPr>
            </w:pPr>
            <w:r>
              <w:rPr>
                <w:rFonts w:ascii="宋体" w:hAnsi="宋体" w:cs="宋体"/>
                <w:b/>
                <w:color w:val="auto"/>
                <w:kern w:val="0"/>
                <w:szCs w:val="21"/>
                <w:highlight w:val="none"/>
                <w:lang w:bidi="ar"/>
              </w:rPr>
              <w:t>1、桌面操作系统（中文专业升级版或更高版本）</w:t>
            </w:r>
          </w:p>
        </w:tc>
        <w:tc>
          <w:tcPr>
            <w:tcW w:w="7604" w:type="dxa"/>
            <w:noWrap w:val="0"/>
            <w:tcMar>
              <w:left w:w="108" w:type="dxa"/>
              <w:right w:w="108" w:type="dxa"/>
            </w:tcMar>
            <w:vAlign w:val="top"/>
          </w:tcPr>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ascii="宋体" w:hAnsi="宋体" w:eastAsia="宋体" w:cs="宋体"/>
                <w:color w:val="auto"/>
                <w:szCs w:val="21"/>
                <w:highlight w:val="none"/>
                <w:lang w:val="zh-CN"/>
              </w:rPr>
              <w:t>能够实现当前现有操作系统的兼容性。</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hint="default" w:ascii="宋体" w:hAnsi="宋体" w:eastAsia="宋体" w:cs="宋体"/>
                <w:color w:val="auto"/>
                <w:szCs w:val="21"/>
                <w:highlight w:val="none"/>
                <w:lang w:val="zh-CN"/>
              </w:rPr>
              <w:t>语言包支持</w:t>
            </w:r>
            <w:r>
              <w:rPr>
                <w:rFonts w:ascii="宋体" w:hAnsi="宋体" w:eastAsia="宋体" w:cs="宋体"/>
                <w:color w:val="auto"/>
                <w:szCs w:val="21"/>
                <w:highlight w:val="none"/>
                <w:lang w:val="zh-CN"/>
              </w:rPr>
              <w:t>的语言数量达到43 种，非管理员用户帐户可添加显示语言及其对应的语言功能，可将已装载的语言和可选功能 ISO 用作 FOD 和语言包存储库，无需手动自行创建。</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ascii="宋体" w:hAnsi="宋体" w:eastAsia="宋体" w:cs="宋体"/>
                <w:color w:val="auto"/>
                <w:szCs w:val="21"/>
                <w:highlight w:val="none"/>
                <w:lang w:val="zh-CN"/>
              </w:rPr>
              <w:t>能够支持运行PB，Visual Studio等开发语言和工具开发的业务应用；桌面操作系统要能够支持Windows 轻松传送，可以将原来使用在Windows 7/XP系统上的文件、文件夹、程序设置和系统设置从旧 PC 转移到新 PC；支持自适应性显示器亮度。操作系统会在休息一段时间后自动降低显示器亮度。并且操作系统可以智能地适应</w:t>
            </w:r>
            <w:r>
              <w:rPr>
                <w:rFonts w:ascii="宋体" w:hAnsi="宋体" w:eastAsia="宋体" w:cs="宋体"/>
                <w:color w:val="auto"/>
                <w:szCs w:val="21"/>
                <w:highlight w:val="none"/>
              </w:rPr>
              <w:t>操作</w:t>
            </w:r>
            <w:r>
              <w:rPr>
                <w:rFonts w:ascii="宋体" w:hAnsi="宋体" w:eastAsia="宋体" w:cs="宋体"/>
                <w:color w:val="auto"/>
                <w:szCs w:val="21"/>
                <w:highlight w:val="none"/>
                <w:lang w:val="zh-CN"/>
              </w:rPr>
              <w:t>活动。举例来说，如果屏幕第一次等待 30 秒变暗，在移动鼠标后，操作系统会等待 60 秒后再降低屏幕亮度。</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ascii="宋体" w:hAnsi="宋体" w:eastAsia="宋体" w:cs="宋体"/>
                <w:color w:val="auto"/>
                <w:szCs w:val="21"/>
                <w:highlight w:val="none"/>
                <w:lang w:val="zh-CN"/>
              </w:rPr>
              <w:t>支持Kernel Patch 保护、Service Hardening、数据执行保护、地址空间布局随机化和强制完整性级别等基本安全性特性继续提供对恶意软件和其他形式安全威胁的增强保护。</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支持常用的PCIE以太网</w:t>
            </w:r>
            <w:r>
              <w:rPr>
                <w:rFonts w:ascii="宋体" w:hAnsi="宋体" w:eastAsia="宋体" w:cs="宋体"/>
                <w:color w:val="auto"/>
                <w:szCs w:val="21"/>
                <w:highlight w:val="none"/>
                <w:lang w:val="zh-CN"/>
              </w:rPr>
              <w:t>、</w:t>
            </w:r>
            <w:r>
              <w:rPr>
                <w:rFonts w:hint="default" w:ascii="宋体" w:hAnsi="宋体" w:eastAsia="宋体" w:cs="宋体"/>
                <w:color w:val="auto"/>
                <w:szCs w:val="21"/>
                <w:highlight w:val="none"/>
                <w:lang w:val="zh-CN"/>
              </w:rPr>
              <w:t>WIFI设备等驱动程序</w:t>
            </w:r>
            <w:r>
              <w:rPr>
                <w:rFonts w:ascii="宋体" w:hAnsi="宋体" w:eastAsia="宋体" w:cs="宋体"/>
                <w:color w:val="auto"/>
                <w:szCs w:val="21"/>
                <w:highlight w:val="none"/>
                <w:lang w:val="zh-CN"/>
              </w:rPr>
              <w:t>“</w:t>
            </w:r>
            <w:r>
              <w:rPr>
                <w:rFonts w:hint="default" w:ascii="宋体" w:hAnsi="宋体" w:eastAsia="宋体" w:cs="宋体"/>
                <w:color w:val="auto"/>
                <w:szCs w:val="21"/>
                <w:highlight w:val="none"/>
                <w:lang w:val="zh-CN"/>
              </w:rPr>
              <w:t>按需功能</w:t>
            </w:r>
            <w:r>
              <w:rPr>
                <w:rFonts w:ascii="宋体" w:hAnsi="宋体" w:eastAsia="宋体" w:cs="宋体"/>
                <w:color w:val="auto"/>
                <w:szCs w:val="21"/>
                <w:highlight w:val="none"/>
                <w:lang w:val="zh-CN"/>
              </w:rPr>
              <w:t>“提供，用户可以</w:t>
            </w:r>
            <w:r>
              <w:rPr>
                <w:rFonts w:ascii="宋体" w:hAnsi="宋体" w:eastAsia="宋体" w:cs="Segoe UI"/>
                <w:color w:val="auto"/>
                <w:highlight w:val="none"/>
                <w:shd w:val="clear" w:color="auto" w:fill="FFFFFF"/>
              </w:rPr>
              <w:t>通过删除不适用于设备的驱动程序来更轻松地节省磁盘空间。</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支持使用windows系统映像管理器</w:t>
            </w:r>
            <w:r>
              <w:rPr>
                <w:rFonts w:ascii="宋体" w:hAnsi="宋体" w:eastAsia="宋体" w:cs="宋体"/>
                <w:color w:val="auto"/>
                <w:szCs w:val="21"/>
                <w:highlight w:val="none"/>
                <w:lang w:val="zh-CN"/>
              </w:rPr>
              <w:t>（</w:t>
            </w:r>
            <w:r>
              <w:rPr>
                <w:rFonts w:ascii="宋体" w:hAnsi="宋体" w:eastAsia="宋体" w:cs="Segoe UI"/>
                <w:color w:val="auto"/>
                <w:highlight w:val="none"/>
                <w:shd w:val="clear" w:color="auto" w:fill="FFFFFF"/>
              </w:rPr>
              <w:t>WSIM）自定义os的部署，支持自定义桌面，“开始”菜单可以将应用或者网站链接等。</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支持用户帐户控制；操作系统支持对 USB 移动存储设备（如移动硬盘）驱动器的加密支持，以便在这些数据丢失或被盗时</w:t>
            </w:r>
            <w:r>
              <w:rPr>
                <w:rFonts w:ascii="宋体" w:hAnsi="宋体" w:eastAsia="宋体" w:cs="宋体"/>
                <w:color w:val="auto"/>
                <w:szCs w:val="21"/>
                <w:highlight w:val="none"/>
              </w:rPr>
              <w:t>实现</w:t>
            </w:r>
            <w:r>
              <w:rPr>
                <w:rFonts w:ascii="宋体" w:hAnsi="宋体" w:eastAsia="宋体" w:cs="宋体"/>
                <w:color w:val="auto"/>
                <w:szCs w:val="21"/>
                <w:highlight w:val="none"/>
                <w:lang w:val="zh-CN"/>
              </w:rPr>
              <w:t>保护。</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ascii="宋体" w:hAnsi="宋体" w:eastAsia="宋体" w:cs="宋体"/>
                <w:color w:val="auto"/>
                <w:szCs w:val="21"/>
                <w:highlight w:val="none"/>
                <w:lang w:val="zh-CN"/>
              </w:rPr>
              <w:t>支持集成的指纹读取器和操作系统登录。</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支持通过添加清晰的动画，并在每个显示器布局的基础上保留用户的窗口安排，使显示器的连接和移除过程更加平滑和可靠，改进了对接设备和多显示器使用体验。</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ascii="宋体" w:hAnsi="宋体" w:eastAsia="宋体" w:cs="宋体"/>
                <w:color w:val="auto"/>
                <w:szCs w:val="21"/>
                <w:highlight w:val="none"/>
                <w:lang w:val="zh-CN"/>
              </w:rPr>
              <w:t>硬件设备的添加和删除，能够正确识别处理器、问题步骤记录器、输入设备、输出设备、网络设备、图像和声音控制器、蓝牙控制器、系统总线控制器、电源管理控制器以及其他系统设备等硬件设备，硬件设备性能发挥正常、运行稳定。（1）处理器：正确识别 CPU 型号，支持多线程、多核技术。（2）输入设备：可以自动识别目前主流的键盘、鼠标等输入设备，对不能识别的设备，可通过安装厂商提供的驱动软件正确识别。支持 USB2.0 以上的输入设备（如：扫描仪、摄像头、手写板等）的高速接入。（3）输出设备：显示器、打印机等，对不能识别的设备，可通过安装厂商提供的驱动软件正确识别。（4）网络设备：可自动识别目前主流的有线和无线网络设备，对不能识别的设备，可通过安装厂商提供的驱动软件正确识别。图像和声音控制器：可自动识别目前主流的图像和声音控制器，对不能识别的设备，可通过安装厂商提供的驱动软件正确识别。</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支持改善平板电脑体验</w:t>
            </w:r>
            <w:r>
              <w:rPr>
                <w:rFonts w:ascii="宋体" w:hAnsi="宋体" w:eastAsia="宋体" w:cs="宋体"/>
                <w:color w:val="auto"/>
                <w:szCs w:val="21"/>
                <w:highlight w:val="none"/>
                <w:lang w:val="zh-CN"/>
              </w:rPr>
              <w:t>，</w:t>
            </w:r>
            <w:r>
              <w:rPr>
                <w:rFonts w:ascii="宋体" w:hAnsi="宋体" w:eastAsia="宋体" w:cs="Segoe UI"/>
                <w:color w:val="auto"/>
                <w:highlight w:val="none"/>
                <w:shd w:val="clear" w:color="auto" w:fill="FFFFFF"/>
              </w:rPr>
              <w:t>在平板电脑和 2-1 设备为平板电脑时提供优化的体验。 例如，任务栏将在图标之间提供更大的空间，以提供更好的触摸体验。</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支持通过无线网络唤醒。</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ascii="宋体" w:hAnsi="宋体" w:eastAsia="宋体" w:cs="宋体"/>
                <w:color w:val="auto"/>
                <w:szCs w:val="21"/>
                <w:highlight w:val="none"/>
                <w:lang w:val="zh-CN"/>
              </w:rPr>
              <w:t>支持系统还原。系统还原点在备份中也可用，可以从一个更大的还原点列表中进行选择，并且能覆盖很长一段时间。</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支持</w:t>
            </w:r>
            <w:r>
              <w:rPr>
                <w:rFonts w:ascii="宋体" w:hAnsi="宋体" w:eastAsia="宋体"/>
                <w:color w:val="auto"/>
                <w:highlight w:val="none"/>
              </w:rPr>
              <w:fldChar w:fldCharType="begin"/>
            </w:r>
            <w:r>
              <w:rPr>
                <w:rFonts w:ascii="宋体" w:hAnsi="宋体" w:eastAsia="宋体"/>
                <w:color w:val="auto"/>
                <w:highlight w:val="none"/>
              </w:rPr>
              <w:instrText xml:space="preserve"> HYPERLINK "https://docs.microsoft.com/en-us/windows-hardware/design/device-experiences/oem-hvci-enablement" </w:instrText>
            </w:r>
            <w:r>
              <w:rPr>
                <w:rFonts w:ascii="宋体" w:hAnsi="宋体" w:eastAsia="宋体"/>
                <w:color w:val="auto"/>
                <w:highlight w:val="none"/>
              </w:rPr>
              <w:fldChar w:fldCharType="separate"/>
            </w:r>
            <w:r>
              <w:rPr>
                <w:rStyle w:val="8"/>
                <w:rFonts w:ascii="宋体" w:hAnsi="宋体" w:eastAsia="宋体" w:cs="Segoe UI"/>
                <w:color w:val="auto"/>
                <w:szCs w:val="21"/>
                <w:highlight w:val="none"/>
                <w:u w:val="none"/>
                <w:shd w:val="clear" w:color="auto" w:fill="FFFFFF"/>
              </w:rPr>
              <w:t>虚拟机监控程序保护的代码完整性启用</w:t>
            </w:r>
            <w:r>
              <w:rPr>
                <w:rFonts w:ascii="宋体" w:hAnsi="宋体" w:eastAsia="宋体"/>
                <w:color w:val="auto"/>
                <w:highlight w:val="none"/>
              </w:rPr>
              <w:fldChar w:fldCharType="end"/>
            </w:r>
            <w:r>
              <w:rPr>
                <w:rFonts w:ascii="宋体" w:hAnsi="宋体" w:eastAsia="宋体"/>
                <w:color w:val="auto"/>
                <w:highlight w:val="none"/>
              </w:rPr>
              <w:t>，</w:t>
            </w:r>
            <w:r>
              <w:rPr>
                <w:rFonts w:ascii="宋体" w:hAnsi="宋体" w:eastAsia="宋体" w:cs="Segoe UI"/>
                <w:color w:val="auto"/>
                <w:szCs w:val="21"/>
                <w:highlight w:val="none"/>
                <w:shd w:val="clear" w:color="auto" w:fill="FFFFFF"/>
              </w:rPr>
              <w:t>兼容系统上新的安装项默认启用内存完整性，对试图利用Windows内核进行攻击的恶意软件提供了更强的保护，设备制造商和最终用户对是否启用该功能拥有最终控制权。</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支持Action Center新的、集成的控制面板（Control Panel）体验，可以集中管理有助于保持计算机顺利运行的任务和通知。它提供了新的、经过简化的解决通知和管理计算机问题的体验，包括配置用户帐户控制，便于修复问题。包括了安全中心（Security Center）、问题报告和解决方案（Problem, Reports, and Solutions）、操作系统防护、操作系统升级、诊断（Diagnostics）、网络访问保护（Network Access Protection）、备份和还原（Backup and Restore）、恢复（Recovery）和用户帐户控制。</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所有的应用程序尽量全部汉化，桌面的图标、菜单和图形化应用程序应提供中文帮助。</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支持快速显示桌面，半透明玻璃窗口支持快速显示桌面，半透明玻璃窗口；</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ascii="宋体" w:hAnsi="宋体" w:eastAsia="宋体" w:cs="宋体"/>
                <w:color w:val="auto"/>
                <w:szCs w:val="21"/>
                <w:highlight w:val="none"/>
                <w:lang w:val="zh-CN"/>
              </w:rPr>
              <w:t>能够正常安装、运行和卸载公文处理、网页浏览、 IE加速器、即时通讯、数据下载和传输、 IE隐私浏览模式、图形图像处理、编程开发、数据存储备份和加密、病毒防护、电子邮件等应用软件。</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ascii="宋体" w:hAnsi="宋体" w:eastAsia="宋体" w:cs="宋体"/>
                <w:color w:val="auto"/>
                <w:szCs w:val="21"/>
                <w:highlight w:val="none"/>
                <w:lang w:val="zh-CN"/>
              </w:rPr>
              <w:t>多媒体支持：提供多种媒体支持，提供MPEG、MOV、AVI格式的媒体播放，支持MP3、VCD、DVD、CD等多种格式的播放。</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支持操作系统内置支持的本地全局搜索。只需在搜索框中输入少许字母，就会显示匹配的文档、图片、音乐、电子邮件和其他文件的列表，所有内容都排列在相应的类别下。还可以直接在开始菜单中搜索控制面板任务，以便快速调整计算机设置。搜索还可以查找库中的文件，允许直接在开始菜单中搜索 PC 以外的位置。搜索结果会根据库分组，以确保结果易于理解。系统管理员最多可以定义五个 PC 以外的搜索位置。当选择一个位置去搜索时，搜索将在远程服务器上执行，而结果将以熟悉的资源管理器用户界面的方式呈现。</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支持</w:t>
            </w:r>
            <w:bookmarkStart w:id="2" w:name="_Toc225162908"/>
            <w:bookmarkStart w:id="3" w:name="_Toc225310205"/>
            <w:r>
              <w:rPr>
                <w:rFonts w:ascii="宋体" w:hAnsi="宋体" w:eastAsia="宋体" w:cs="宋体"/>
                <w:color w:val="auto"/>
                <w:szCs w:val="21"/>
                <w:highlight w:val="none"/>
                <w:lang w:val="zh-CN"/>
              </w:rPr>
              <w:t>智能输入和最近搜索</w:t>
            </w:r>
            <w:bookmarkEnd w:id="2"/>
            <w:bookmarkEnd w:id="3"/>
            <w:r>
              <w:rPr>
                <w:rFonts w:ascii="宋体" w:hAnsi="宋体" w:eastAsia="宋体" w:cs="宋体"/>
                <w:color w:val="auto"/>
                <w:szCs w:val="21"/>
                <w:highlight w:val="none"/>
                <w:lang w:val="zh-CN"/>
              </w:rPr>
              <w:t>。它可以根据之前的搜索呈现输入建议，并动态过滤这些建议来帮助缩小结果。</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支持</w:t>
            </w:r>
            <w:bookmarkStart w:id="4" w:name="_Toc225162909"/>
            <w:bookmarkStart w:id="5" w:name="_Toc225310206"/>
            <w:r>
              <w:rPr>
                <w:rFonts w:ascii="宋体" w:hAnsi="宋体" w:eastAsia="宋体" w:cs="宋体"/>
                <w:color w:val="auto"/>
                <w:szCs w:val="21"/>
                <w:highlight w:val="none"/>
                <w:lang w:val="zh-CN"/>
              </w:rPr>
              <w:t>改进的搜索相关性</w:t>
            </w:r>
            <w:bookmarkEnd w:id="4"/>
            <w:bookmarkEnd w:id="5"/>
            <w:r>
              <w:rPr>
                <w:rFonts w:ascii="宋体" w:hAnsi="宋体" w:eastAsia="宋体" w:cs="宋体"/>
                <w:color w:val="auto"/>
                <w:szCs w:val="21"/>
                <w:highlight w:val="none"/>
                <w:lang w:val="zh-CN"/>
              </w:rPr>
              <w:t>。搜索引擎使用改进的算法来确定相应的内容并对结果进行排序。在这些结果中，搜索关键字会高亮显示在文件内容片段或文件路径中，以帮助更好地理解搜索结果和某个结果是否满足需要。通过允许用户更加轻松地指定搜索位置，如某个硬盘上的特定物理位置、跨多个特定物理位置或者特定的网站，操作系统内置的搜索功能让搜索结果更具有参考性。在开始菜单中发起的搜索将查找库中的所有数据，而由资源管理器发起的搜索将查找特定的库，如文档库。</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支持自动化的启动修复（Startup Repair）工具来诊断和恢复无法启动的系统。如果遇到无法成功启动的情况，操作系统会自动加载启动修复，扫描 PC 中的问题（比如注册表损坏、系统文件丢失或启动配置数据无效），并在可能的情况下自动修复它们，然后像往常一样重新启动。</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支持家庭组，使联网更加方便。支持将多台计算机连接在一起。在设置家庭组后，在跨多台电脑和其他设备共享文件，就像所有数据都存储在一块硬盘上一样简单。将数字照片存储在工作室中的一台计算机上，</w:t>
            </w:r>
            <w:r>
              <w:rPr>
                <w:rFonts w:ascii="宋体" w:hAnsi="宋体" w:eastAsia="宋体" w:cs="宋体"/>
                <w:color w:val="auto"/>
                <w:szCs w:val="21"/>
                <w:highlight w:val="none"/>
              </w:rPr>
              <w:t>即可在组中的</w:t>
            </w:r>
            <w:r>
              <w:rPr>
                <w:rFonts w:ascii="宋体" w:hAnsi="宋体" w:eastAsia="宋体" w:cs="宋体"/>
                <w:color w:val="auto"/>
                <w:szCs w:val="21"/>
                <w:highlight w:val="none"/>
                <w:lang w:val="zh-CN"/>
              </w:rPr>
              <w:t>任何位置用笔记本访问这些照片。在加入家庭组时，可以立即在资源管理器导航面板中看到分组中列于“家庭组”节点下的其他 PC ，并且像对待硬盘上的项目一样与其他计算机共享的库交互。可以浏览这些库（以需要的方式查看），搜索特定库或用户的机器，或者选择“家庭组用户”（HomeGroup User）以便在家庭组的所有 PC 上进行搜索。家庭组还允许精确指定想要共享的内容。可以选择将电脑上的数据保留为私有，或者与整个家庭组共享其他文件夹以便</w:t>
            </w:r>
            <w:r>
              <w:rPr>
                <w:rFonts w:ascii="宋体" w:hAnsi="宋体" w:eastAsia="宋体" w:cs="宋体"/>
                <w:color w:val="auto"/>
                <w:szCs w:val="21"/>
                <w:highlight w:val="none"/>
              </w:rPr>
              <w:t>更</w:t>
            </w:r>
            <w:r>
              <w:rPr>
                <w:rFonts w:ascii="宋体" w:hAnsi="宋体" w:eastAsia="宋体" w:cs="宋体"/>
                <w:color w:val="auto"/>
                <w:szCs w:val="21"/>
                <w:highlight w:val="none"/>
                <w:lang w:val="zh-CN"/>
              </w:rPr>
              <w:t>快捷、简单地获取其内容。</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支持Device Stage的功能，旨在帮助用户执行各种操作以更好地利用设备。对于连接到基于该操作系统的 PC 的移动电话、便携媒体播放器、照相机和打印机，Device Stage 可以</w:t>
            </w:r>
            <w:r>
              <w:rPr>
                <w:rFonts w:ascii="宋体" w:hAnsi="宋体" w:eastAsia="宋体" w:cs="宋体"/>
                <w:color w:val="auto"/>
                <w:szCs w:val="21"/>
                <w:highlight w:val="none"/>
              </w:rPr>
              <w:t>查</w:t>
            </w:r>
            <w:r>
              <w:rPr>
                <w:rFonts w:ascii="宋体" w:hAnsi="宋体" w:eastAsia="宋体" w:cs="宋体"/>
                <w:color w:val="auto"/>
                <w:szCs w:val="21"/>
                <w:highlight w:val="none"/>
                <w:lang w:val="zh-CN"/>
              </w:rPr>
              <w:t>看到设备的状态，并在为每个设备定制的单一窗口中运行常用任务。Device Stage 窗口对于每个设备的结构是相同的，但每个窗口的内容由设备的制造商来设计和填充。 对于便携设备，如数码相机和手机，不管何时连接设备，都将在任务栏看到该设备逼真的照片图像。在任务栏中</w:t>
            </w:r>
            <w:r>
              <w:rPr>
                <w:rFonts w:ascii="宋体" w:hAnsi="宋体" w:eastAsia="宋体" w:cs="宋体"/>
                <w:color w:val="auto"/>
                <w:szCs w:val="21"/>
                <w:highlight w:val="none"/>
              </w:rPr>
              <w:t>可</w:t>
            </w:r>
            <w:r>
              <w:rPr>
                <w:rFonts w:ascii="宋体" w:hAnsi="宋体" w:eastAsia="宋体" w:cs="宋体"/>
                <w:color w:val="auto"/>
                <w:szCs w:val="21"/>
                <w:highlight w:val="none"/>
                <w:lang w:val="zh-CN"/>
              </w:rPr>
              <w:t>为设备启动设备存储并通过右键单击鼠标快速访问设备任务。</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支持部署映像维护和管理。部署映像维护和管理（DISM）工具为 IT 专业人员脱机构建和服务 Windows 映像提供了一个集中场所。使用 DISM，IT 专业人员可以更新操作系统映像；添加可选组件；添加、移除第三方设备驱动程序；添加语言包并应用国际设置；维护包含驱动程序、软件包、特性和软件更新的脱机映像存储库。</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支持VHD 映像管理和部署。使 IT 专业人员能够使用相同的流程和工具管理 WIM 和 VHD 映像文件。使用操作系统部署服务（Deployment Services）和多点部署选项部署虚拟机（VHD）文件。像 WIM 文件一样，VHD 文件可以自动部署，也可以通过实现虚拟机文件启动本机。</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支持在内网内批量激活终端操作系统，批量激活服务使用客户端-服务器模型来激活客户端，并用于在本地网络上批量激活。</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支持自带娱乐、生活、消费类应用以及云服务应用。</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支持触摸屏、触控笔等多种新一代硬件组件，支持二合一设备。可以实现在桌面和平板模式间快速切换。</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支持多种安装方式，可采用光盘安装、网络安装、硬盘安装。支持更高级版本的操作系统无损升级。</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支持自定义的系统镜像制作和管理。</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支持最新的硬件平台，支持最新的核心处理器。</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系统还原：用户可以选择恢复到系统的原始状态，并可以选择保留或删除原文件。</w:t>
            </w:r>
          </w:p>
          <w:p>
            <w:pPr>
              <w:pageBreakBefore w:val="0"/>
              <w:numPr>
                <w:ilvl w:val="0"/>
                <w:numId w:val="1"/>
              </w:numPr>
              <w:tabs>
                <w:tab w:val="left" w:pos="0"/>
              </w:tabs>
              <w:kinsoku/>
              <w:wordWrap/>
              <w:overflowPunct/>
              <w:topLinePunct w:val="0"/>
              <w:autoSpaceDE w:val="0"/>
              <w:autoSpaceDN w:val="0"/>
              <w:bidi w:val="0"/>
              <w:adjustRightInd w:val="0"/>
              <w:snapToGrid/>
              <w:spacing w:beforeAutospacing="0" w:afterAutospacing="0" w:line="240" w:lineRule="auto"/>
              <w:ind w:left="0" w:firstLine="0"/>
              <w:jc w:val="left"/>
              <w:rPr>
                <w:rFonts w:ascii="宋体" w:hAnsi="宋体" w:cs="宋体"/>
                <w:color w:val="auto"/>
                <w:szCs w:val="21"/>
                <w:highlight w:val="none"/>
                <w:lang w:val="zh-CN"/>
              </w:rPr>
            </w:pPr>
            <w:r>
              <w:rPr>
                <w:rFonts w:ascii="宋体" w:hAnsi="宋体" w:eastAsia="宋体" w:cs="宋体"/>
                <w:color w:val="auto"/>
                <w:szCs w:val="21"/>
                <w:highlight w:val="none"/>
                <w:lang w:val="zh-CN"/>
              </w:rPr>
              <w:t>系统自带Hyper-V虚拟化功能,可以提供解决应用兼容性方案和其它用途。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4" w:hRule="atLeast"/>
          <w:jc w:val="center"/>
        </w:trPr>
        <w:tc>
          <w:tcPr>
            <w:tcW w:w="1322" w:type="dxa"/>
            <w:noWrap w:val="0"/>
            <w:tcMar>
              <w:left w:w="108" w:type="dxa"/>
              <w:right w:w="108" w:type="dxa"/>
            </w:tcMar>
            <w:vAlign w:val="top"/>
          </w:tcPr>
          <w:p>
            <w:pPr>
              <w:pageBreakBefore w:val="0"/>
              <w:widowControl/>
              <w:kinsoku/>
              <w:wordWrap/>
              <w:overflowPunct/>
              <w:topLinePunct w:val="0"/>
              <w:bidi w:val="0"/>
              <w:snapToGrid/>
              <w:spacing w:beforeAutospacing="0" w:afterAutospacing="0" w:line="240" w:lineRule="auto"/>
              <w:jc w:val="left"/>
              <w:rPr>
                <w:rFonts w:ascii="宋体" w:hAnsi="宋体"/>
                <w:b/>
                <w:color w:val="auto"/>
                <w:szCs w:val="21"/>
                <w:highlight w:val="none"/>
              </w:rPr>
            </w:pPr>
            <w:r>
              <w:rPr>
                <w:rFonts w:ascii="宋体" w:hAnsi="宋体"/>
                <w:b/>
                <w:color w:val="auto"/>
                <w:szCs w:val="21"/>
                <w:highlight w:val="none"/>
              </w:rPr>
              <w:t>2、服务器端操作系统（</w:t>
            </w:r>
            <w:r>
              <w:rPr>
                <w:rFonts w:ascii="宋体" w:hAnsi="宋体"/>
                <w:b/>
                <w:color w:val="auto"/>
                <w:szCs w:val="21"/>
                <w:highlight w:val="none"/>
                <w:lang w:val="en-US"/>
              </w:rPr>
              <w:t>标准版</w:t>
            </w:r>
            <w:r>
              <w:rPr>
                <w:rFonts w:ascii="宋体" w:hAnsi="宋体"/>
                <w:b/>
                <w:color w:val="auto"/>
                <w:szCs w:val="21"/>
                <w:highlight w:val="none"/>
              </w:rPr>
              <w:t>）</w:t>
            </w:r>
          </w:p>
        </w:tc>
        <w:tc>
          <w:tcPr>
            <w:tcW w:w="7604" w:type="dxa"/>
            <w:noWrap w:val="0"/>
            <w:tcMar>
              <w:left w:w="108" w:type="dxa"/>
              <w:right w:w="108" w:type="dxa"/>
            </w:tcMar>
            <w:vAlign w:val="top"/>
          </w:tcPr>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操作系统下支持最大512个逻辑CPU。</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内存支持最大至24TB，并支持在线热增加内存。</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操作系统产品/分发版本中内置“裸金属”架构的虚拟化功能。</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支持最大64节点的故障转移群集，群集中最多支持同时运行8000个虚拟机；单个虚拟机最大内存支持达12TB；单个虚拟机支持最高达240个vCPU。</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提供数据中心级别或类似版本，支持创建无限数量并合法授权的Windows Server各版本、或是其它Linux/FreeBSD等操作系统的虚拟机；该版本支持在虚拟化场景中部署无限数量的容器部署；能够支持市面上主流的处理器的嵌套虚拟化。</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 xml:space="preserve">支持桌面虚拟化应用场景中多个虚拟机共享使用物理GPU,并且利用vGPU进行虚拟桌面加速，并且支持最高4K桌面分辨率。 </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支持屏蔽的虚拟机：支持内置提供安全措施（BitLocker加密、防入侵、防篡改、防木马）的虚拟机，并且只能运行在被操作系统内置的主机保护服务授权密钥批准的宿主机上运行。</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支持安全核心服务器，可以帮助客户处理数据敏感度较高的关键任务；可以在 Windows Admin Center 中轻松配置 Windows Server 系统以实现安全核心的安全功能；能够最大程度地利用硬件、固件和操作系统功能，以防范当前和未来的威胁；能够主动防御和阻断攻击者可能用来攻击系统的许多路径。</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支持默认启动HTTPS和TLS1.3，支持通过基于 HTTPS 的 DNS 实现 DNS 名称解析请求的加密；支持SMB AES-256加密。</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能够将数据中心扩展到云端，从而来提高效率和灵活性。</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支持在线热补丁，安装更新后无需重新启动。</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能够更加轻松的将源位置的存储迁移到Windows Server上，包括从本地用户和组、从故障转移群集、从Linux服务器、从云端文件、从NetApp FAS 阵列迁移到Windows Server存储上。</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支持软件定义网络：支持软件定义网络(Software-defined Networking)的功能；支持创建虚拟网卡控制器、虚拟网络、软件负载均衡器；支持多租户的网络隔离；支持动态分布式防火墙；支持多租户、高可用的混合式SDN网关，用以连接不同的私有网络、私有网络和公有云中的网段；支持虚拟机的负载均衡。</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支持软件定义存储：支持Server SAN的功能，能够将不同服务器上安装的本地硬盘虚拟成一个虚拟存储，并保证数据在不同服务器磁盘上的分布存储，提升数据的高可用和冗余;支持存储虚拟化，单个存储池/空间可以挂载多个多种类的存储设备（包括JBOD,DAS,NAS,IP SAN,FC SAN）；支持存储块级的同步复制功能；支持故障转移群集中不同节点跨区域；支持故障转移群集的见证服务器部署在公有云的虚拟机上；支持内存同步容错和跨文件复制（DFS-R）。</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jc w:val="left"/>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支持操作系统的存储加密：提供BitLocker驱动器加密功能；支持可移动存储的加密。</w:t>
            </w:r>
          </w:p>
          <w:p>
            <w:pPr>
              <w:pageBreakBefore w:val="0"/>
              <w:numPr>
                <w:ilvl w:val="0"/>
                <w:numId w:val="1"/>
              </w:numPr>
              <w:tabs>
                <w:tab w:val="left" w:pos="0"/>
              </w:tabs>
              <w:kinsoku/>
              <w:wordWrap/>
              <w:overflowPunct/>
              <w:topLinePunct w:val="0"/>
              <w:autoSpaceDE w:val="0"/>
              <w:autoSpaceDN w:val="0"/>
              <w:bidi w:val="0"/>
              <w:snapToGrid/>
              <w:spacing w:beforeAutospacing="0" w:afterAutospacing="0" w:line="240" w:lineRule="auto"/>
              <w:ind w:left="0" w:firstLine="0"/>
              <w:jc w:val="left"/>
              <w:rPr>
                <w:rFonts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支持网络接入保护: 服务器内置网络接入保护功能，并且客户端连接数没有数量限制；支持网络策略服务器角色和功能，使用网络策略服务器，可以为客户端运行状况、连接请求身份验证和连接请求授权创建并强制使用组。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9" w:hRule="atLeast"/>
          <w:jc w:val="center"/>
        </w:trPr>
        <w:tc>
          <w:tcPr>
            <w:tcW w:w="1322" w:type="dxa"/>
            <w:noWrap w:val="0"/>
            <w:tcMar>
              <w:left w:w="108" w:type="dxa"/>
              <w:right w:w="108" w:type="dxa"/>
            </w:tcMar>
            <w:vAlign w:val="top"/>
          </w:tcPr>
          <w:p>
            <w:pPr>
              <w:pageBreakBefore w:val="0"/>
              <w:widowControl/>
              <w:kinsoku/>
              <w:wordWrap/>
              <w:overflowPunct/>
              <w:topLinePunct w:val="0"/>
              <w:bidi w:val="0"/>
              <w:snapToGrid/>
              <w:spacing w:beforeAutospacing="0" w:afterAutospacing="0" w:line="240" w:lineRule="auto"/>
              <w:jc w:val="left"/>
              <w:rPr>
                <w:rFonts w:ascii="宋体" w:hAnsi="宋体"/>
                <w:b/>
                <w:color w:val="auto"/>
                <w:szCs w:val="21"/>
                <w:highlight w:val="none"/>
              </w:rPr>
            </w:pPr>
            <w:r>
              <w:rPr>
                <w:rFonts w:ascii="宋体" w:hAnsi="宋体"/>
                <w:b/>
                <w:color w:val="auto"/>
                <w:szCs w:val="21"/>
                <w:highlight w:val="none"/>
              </w:rPr>
              <w:t>3数据库软件（标准版）</w:t>
            </w:r>
          </w:p>
        </w:tc>
        <w:tc>
          <w:tcPr>
            <w:tcW w:w="7604" w:type="dxa"/>
            <w:noWrap w:val="0"/>
            <w:tcMar>
              <w:left w:w="108" w:type="dxa"/>
              <w:right w:w="108" w:type="dxa"/>
            </w:tcMar>
            <w:vAlign w:val="top"/>
          </w:tcPr>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单个实例使用的最大计算能力限制为 4 个插槽或 24 核，取二者中的较小值。</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每个 SQL Server 数据库引擎实例的缓冲池的最大内存128 GB；每个 SQL Server 数据库引擎实例的列存储段缓存的最大内存为32G。</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端到端、自助式的商业智能解决方案。</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应支持当前主流的数据库技术标准，如：ANSI/ISO SQL89、ANSI/ISO SQL92、ANSI/ISO SQL99、ODBC3.0、X/Open、CLI、JDBC，XQuery 等。</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必须支持多语种，至少支持英文、中文、日文、法文、德文。完全支持中文国家标准的中文字符的存储处理，必须完全支持如 Unicode， GB18030 等常用字符集。</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支持对象数据库或多媒体的存储管理。</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在 Gartner 评测报告中位于领先地位。</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应支持存储过程、触发器、表值函数等机制。</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应支持超大规模并发连接用户，内置连接管理器。</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提供数据表分区的功能。</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 xml:space="preserve">应能保证数据处理的一致性和准确性，避免业务数据产生逻辑性错误。 </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应支持数据的在线备份与恢复。</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应提供软件容错机制，包括数据库、日志镜像、和集群机制，具有高度的数据可靠性、容错能力、完整性和有效性。</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支持在线的补丁升级。</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提供数据库快照功能。</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支持代码模块签名。</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应支持数据库加密、数据传输通道加密等保密机制。</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 xml:space="preserve">应支持随意存取控制、身份识别、角色划分、追踪审核等安全机制。 </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 xml:space="preserve">数据库审核机制可基于 C2 标准制定审核策略。 </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根据权威机构（如 NIST）公布的安全数据，产品的安全漏洞应是最少的。</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 xml:space="preserve">应支持主流厂商的硬件平台。 </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应支持常用的网络通信协议，如 TCP/IP。</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 64 位环境。</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 xml:space="preserve">应支持易用并具有广泛适应性的开发语言和工具，如.net、JAVA 应用工具等。 </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支持当前流行的应用拓扑结构，如终端／服务器、客户机／服务器、浏览器／应用服务器／数据库服务器处理模式等。</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提供与数据库集成应用开发语言，如 LINQ。</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 xml:space="preserve">支持 XML 数据的灵活处理与存储，支持 Xquery 等方式对 XML 数据进行处理，帮助应用系统的开发人员快速构建支持灵活的 XML 数据访问的应用。 </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支持虚拟化环境的部署和管理。</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支持图形界面建立数据库自动维护计划。</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 xml:space="preserve">具备数据库的横向和纵向扩展能力，如硬件的在线升级，数据库横向扩展； </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支持分区功能。</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 xml:space="preserve">应支持与异种数据库之间数据的平滑迁移。 </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提供工具支持异构数据库之间迁移和和迁移前的分析。</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应提供统一图形界面的管理，能简易的实现对数据库的管理功能。</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应提供对数据库用户操作进行审核的功能，如审计对数据的修改，用户的登录等，能够有效的监控数据库避免违规操作。</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应支持数据库的联机维护功能。</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提供数据库管理的 API 接口，支持用户定制数据库管理功能。</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 xml:space="preserve">数据库系统应具备支持DBA 日常工作的自动化执行机制，具备自动收集统计信息、自动执行表重组等功能。 </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可支持在同一台计算机上安装多个数据库系统版本和修补包，支持多种数据库版本与级别的并存。</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支持多服务器管理机制，提供多服务器群组管理工具，以保证在多数据库环境下管理和配置的高效率；支持在数据库配置时，单节点配置，多节点同时部署。</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支持同构数据库的分布式联合访问，以实现多数据库的统一访问。</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提供统一的图形化开发工具。</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数据库提供 PowerShell 程序, 编写 Shell 脚本。</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 xml:space="preserve">开发环境与主流开发工具集成，如 Visual Studio。 </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支持数据库项目开发的代码管理、版本管理。</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支持空间数据类型，并提供空间数据的处理、运算能力。</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 ADO.Net 实体框架模型。</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支持第三方地图解决方案，如 Bing 地图。</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 xml:space="preserve">支持 OLAP 的预定义缓存，预先缓存查询频繁的数据。 </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支持数据挖掘工具与主流用户办公平台集成，如Office Excel。</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支持数据压缩和备份压缩机制。</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支持高效率的数据加载。</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提供可视化的报表创建工具。</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支持实时数据分析和实时事件流处理技术（CEP 技术），并能将实时数据处理与 BI 分析系统集成，展现实时数据分析结果。</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提供自服务分析工具，让用户能在多种客户端（如 IE 浏览器）自助进行数据分析和报表制作。</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支持多种报表展现形式，如柱状图、饼状图、仪表盘、动画播放、地图报表等。</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 xml:space="preserve">支持内存数据分析技术，以提高数据访问效率。 </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通过图形化的工具，借助知识库提供数据清洗、数据匹配的功能。</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提供捕获变更数据的功能。</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支持通过T-SQL 语句联合查询数据库和 Hadoop 中的数据。</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提供 基本的R 语言支持。</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支持将数据联机扩展至云端存储，且对应用程序完全透明。</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高可用架构可以将云端扩展为容灾站点 。</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支持数据库表以混合模式存放在内存和硬盘，可灵活调整和定义数据库中哪些表放在内存。</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集成 OLTP 和 OLAP 的应用，集成高可用和备份/恢复功能。</w:t>
            </w:r>
          </w:p>
          <w:p>
            <w:pPr>
              <w:pageBreakBefore w:val="0"/>
              <w:widowControl/>
              <w:numPr>
                <w:ilvl w:val="0"/>
                <w:numId w:val="2"/>
              </w:numPr>
              <w:kinsoku/>
              <w:wordWrap/>
              <w:overflowPunct/>
              <w:topLinePunct w:val="0"/>
              <w:bidi w:val="0"/>
              <w:snapToGrid/>
              <w:spacing w:beforeAutospacing="0" w:afterAutospacing="0" w:line="240" w:lineRule="auto"/>
              <w:ind w:left="0" w:firstLine="0"/>
              <w:jc w:val="left"/>
              <w:rPr>
                <w:rFonts w:ascii="宋体" w:hAnsi="宋体" w:eastAsia="宋体" w:cs="Calibri"/>
                <w:color w:val="auto"/>
                <w:kern w:val="0"/>
                <w:szCs w:val="21"/>
                <w:highlight w:val="none"/>
              </w:rPr>
            </w:pPr>
            <w:r>
              <w:rPr>
                <w:rFonts w:ascii="宋体" w:hAnsi="宋体" w:eastAsia="宋体" w:cs="Calibri"/>
                <w:color w:val="auto"/>
                <w:kern w:val="0"/>
                <w:szCs w:val="21"/>
                <w:highlight w:val="none"/>
              </w:rPr>
              <w:t>提供与原有的非内存式数据库提供相同的管理工具和数据库应用开发体验。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92" w:hRule="atLeast"/>
          <w:jc w:val="center"/>
        </w:trPr>
        <w:tc>
          <w:tcPr>
            <w:tcW w:w="1322" w:type="dxa"/>
            <w:noWrap w:val="0"/>
            <w:tcMar>
              <w:left w:w="108" w:type="dxa"/>
              <w:right w:w="108" w:type="dxa"/>
            </w:tcMar>
            <w:vAlign w:val="top"/>
          </w:tcPr>
          <w:p>
            <w:pPr>
              <w:pageBreakBefore w:val="0"/>
              <w:widowControl/>
              <w:kinsoku/>
              <w:wordWrap/>
              <w:overflowPunct/>
              <w:topLinePunct w:val="0"/>
              <w:bidi w:val="0"/>
              <w:snapToGrid/>
              <w:spacing w:beforeAutospacing="0" w:afterAutospacing="0" w:line="240" w:lineRule="auto"/>
              <w:jc w:val="left"/>
              <w:rPr>
                <w:rFonts w:ascii="宋体" w:hAnsi="宋体"/>
                <w:b/>
                <w:color w:val="auto"/>
                <w:szCs w:val="21"/>
                <w:highlight w:val="none"/>
              </w:rPr>
            </w:pPr>
            <w:r>
              <w:rPr>
                <w:rFonts w:ascii="宋体" w:hAnsi="宋体" w:cs="宋体"/>
                <w:b/>
                <w:color w:val="auto"/>
                <w:kern w:val="0"/>
                <w:szCs w:val="21"/>
                <w:highlight w:val="none"/>
                <w:lang w:bidi="ar"/>
              </w:rPr>
              <w:t>4、办公软件（中文标准版或更高版本）</w:t>
            </w:r>
          </w:p>
        </w:tc>
        <w:tc>
          <w:tcPr>
            <w:tcW w:w="7604" w:type="dxa"/>
            <w:noWrap w:val="0"/>
            <w:tcMar>
              <w:left w:w="108" w:type="dxa"/>
              <w:right w:w="108" w:type="dxa"/>
            </w:tcMar>
            <w:vAlign w:val="center"/>
          </w:tcPr>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文字处理能够将创意轻松转换成为专业的文档，并实现与他人实时共同</w:t>
            </w:r>
            <w:r>
              <w:rPr>
                <w:rFonts w:ascii="宋体" w:hAnsi="宋体" w:eastAsia="宋体" w:cs="宋体"/>
                <w:color w:val="auto"/>
                <w:szCs w:val="21"/>
                <w:highlight w:val="none"/>
              </w:rPr>
              <w:t>编辑。</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支持中文文档标准格式（UOF）。</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hint="default" w:ascii="宋体" w:hAnsi="宋体" w:eastAsia="宋体" w:cs="宋体"/>
                <w:color w:val="auto"/>
                <w:szCs w:val="21"/>
                <w:highlight w:val="none"/>
                <w:lang w:val="zh-CN"/>
              </w:rPr>
            </w:pPr>
            <w:r>
              <w:rPr>
                <w:rFonts w:ascii="宋体" w:hAnsi="宋体" w:eastAsia="宋体" w:cs="宋体"/>
                <w:color w:val="auto"/>
                <w:szCs w:val="21"/>
                <w:highlight w:val="none"/>
                <w:lang w:val="zh-CN"/>
              </w:rPr>
              <w:t>文字处理支持多种语言；编辑文档时可以进行文字编辑、段落、目录、书签等设置或插入文本框、图形、表格等对象；支持图文混排、文件修订、样式应用和文件处理等功能。</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文字处理支持当和其他人共处理一个文档时</w:t>
            </w:r>
            <w:r>
              <w:rPr>
                <w:rFonts w:ascii="宋体" w:hAnsi="宋体" w:eastAsia="宋体" w:cs="宋体"/>
                <w:color w:val="auto"/>
                <w:szCs w:val="21"/>
                <w:highlight w:val="none"/>
                <w:lang w:val="zh-CN"/>
              </w:rPr>
              <w:t>，</w:t>
            </w:r>
            <w:r>
              <w:rPr>
                <w:rFonts w:hint="default" w:ascii="宋体" w:hAnsi="宋体" w:eastAsia="宋体" w:cs="宋体"/>
                <w:color w:val="auto"/>
                <w:szCs w:val="21"/>
                <w:highlight w:val="none"/>
                <w:lang w:val="zh-CN"/>
              </w:rPr>
              <w:t>可以实时查看其他人的状态和</w:t>
            </w:r>
            <w:r>
              <w:rPr>
                <w:rFonts w:ascii="宋体" w:hAnsi="宋体" w:eastAsia="宋体" w:cs="宋体"/>
                <w:color w:val="auto"/>
                <w:szCs w:val="21"/>
                <w:highlight w:val="none"/>
                <w:lang w:val="zh-CN"/>
              </w:rPr>
              <w:t>正在进行的更改。</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文字处理提供特殊符号的自定义插入功能，提供特殊符号的重复插入效率。</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hint="default" w:ascii="宋体" w:hAnsi="宋体" w:eastAsia="宋体" w:cs="宋体"/>
                <w:color w:val="auto"/>
                <w:szCs w:val="21"/>
                <w:highlight w:val="none"/>
                <w:lang w:val="zh-CN"/>
              </w:rPr>
            </w:pPr>
            <w:r>
              <w:rPr>
                <w:rFonts w:ascii="宋体" w:hAnsi="宋体" w:eastAsia="宋体" w:cs="宋体"/>
                <w:color w:val="auto"/>
                <w:szCs w:val="21"/>
                <w:highlight w:val="none"/>
                <w:lang w:val="zh-CN"/>
              </w:rPr>
              <w:t>文字处理提供智能导航窗格的功能，根据文章的内容可以自动生成真实文章结构预览。</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文字处理支持使用</w:t>
            </w:r>
            <w:r>
              <w:rPr>
                <w:rFonts w:ascii="宋体" w:hAnsi="宋体" w:eastAsia="宋体" w:cs="宋体"/>
                <w:color w:val="auto"/>
                <w:szCs w:val="21"/>
                <w:highlight w:val="none"/>
                <w:lang w:val="zh-CN"/>
              </w:rPr>
              <w:t>Microsoft Translator 将单词、短语或句子翻译成另一种语言，便于方便阅读和写作。</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支持</w:t>
            </w:r>
            <w:r>
              <w:rPr>
                <w:rFonts w:ascii="宋体" w:hAnsi="宋体" w:eastAsia="宋体" w:cs="宋体"/>
                <w:color w:val="auto"/>
                <w:szCs w:val="21"/>
                <w:highlight w:val="none"/>
                <w:lang w:val="zh-CN"/>
              </w:rPr>
              <w:t>使用数字笔来进行绘图和书写，通过可定制的便携式数字笔（和铅笔 ）以自然的方式来撰写文档。突出显示重要内容、绘图、将墨迹转换为一种形状或进行数学运算。</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文字处理支持</w:t>
            </w:r>
            <w:r>
              <w:rPr>
                <w:rFonts w:ascii="宋体" w:hAnsi="宋体" w:eastAsia="宋体" w:cs="宋体"/>
                <w:color w:val="auto"/>
                <w:szCs w:val="21"/>
                <w:highlight w:val="none"/>
                <w:lang w:val="zh-CN"/>
              </w:rPr>
              <w:t>使用 LaTeX 数学语法来创建和编辑数学公式。 从“公式”选项卡中选择 LaTeX 格式进行公式编写。</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hint="default" w:ascii="宋体" w:hAnsi="宋体" w:eastAsia="宋体" w:cs="宋体"/>
                <w:color w:val="auto"/>
                <w:szCs w:val="21"/>
                <w:highlight w:val="none"/>
                <w:lang w:val="zh-CN"/>
              </w:rPr>
            </w:pPr>
            <w:r>
              <w:rPr>
                <w:rFonts w:ascii="宋体" w:hAnsi="宋体" w:eastAsia="宋体" w:cs="宋体"/>
                <w:color w:val="auto"/>
                <w:szCs w:val="21"/>
                <w:highlight w:val="none"/>
                <w:lang w:val="zh-CN"/>
              </w:rPr>
              <w:t>文字处理能直接打开PDF格式文件，进行阅读查看。可将其他格式文档另存为PDF格式文件。</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支持通过使用辅助功能检查器对共享文档</w:t>
            </w:r>
            <w:r>
              <w:rPr>
                <w:rFonts w:ascii="宋体" w:hAnsi="宋体" w:eastAsia="宋体" w:cs="宋体"/>
                <w:color w:val="auto"/>
                <w:szCs w:val="21"/>
                <w:highlight w:val="none"/>
                <w:lang w:val="zh-CN"/>
              </w:rPr>
              <w:t>、</w:t>
            </w:r>
            <w:r>
              <w:rPr>
                <w:rFonts w:hint="default" w:ascii="宋体" w:hAnsi="宋体" w:eastAsia="宋体" w:cs="宋体"/>
                <w:color w:val="auto"/>
                <w:szCs w:val="21"/>
                <w:highlight w:val="none"/>
                <w:lang w:val="zh-CN"/>
              </w:rPr>
              <w:t>电子表格等进行辅助检查</w:t>
            </w:r>
            <w:r>
              <w:rPr>
                <w:rFonts w:ascii="宋体" w:hAnsi="宋体" w:eastAsia="宋体" w:cs="宋体"/>
                <w:color w:val="auto"/>
                <w:szCs w:val="21"/>
                <w:highlight w:val="none"/>
                <w:lang w:val="zh-CN"/>
              </w:rPr>
              <w:t>，</w:t>
            </w:r>
            <w:r>
              <w:rPr>
                <w:rFonts w:hint="default" w:ascii="宋体" w:hAnsi="宋体" w:eastAsia="宋体" w:cs="宋体"/>
                <w:color w:val="auto"/>
                <w:szCs w:val="21"/>
                <w:highlight w:val="none"/>
                <w:lang w:val="zh-CN"/>
              </w:rPr>
              <w:t>检查出错误并且给出解决建议提示</w:t>
            </w:r>
            <w:r>
              <w:rPr>
                <w:rFonts w:ascii="宋体" w:hAnsi="宋体" w:eastAsia="宋体" w:cs="宋体"/>
                <w:color w:val="auto"/>
                <w:szCs w:val="21"/>
                <w:highlight w:val="none"/>
                <w:lang w:val="zh-CN"/>
              </w:rPr>
              <w:t>，</w:t>
            </w:r>
            <w:r>
              <w:rPr>
                <w:rFonts w:hint="default" w:ascii="宋体" w:hAnsi="宋体" w:eastAsia="宋体" w:cs="宋体"/>
                <w:color w:val="auto"/>
                <w:szCs w:val="21"/>
                <w:highlight w:val="none"/>
                <w:lang w:val="zh-CN"/>
              </w:rPr>
              <w:t>提升了文档编辑和阅读的</w:t>
            </w:r>
            <w:r>
              <w:rPr>
                <w:rFonts w:ascii="宋体" w:hAnsi="宋体" w:eastAsia="宋体" w:cs="宋体"/>
                <w:color w:val="auto"/>
                <w:szCs w:val="21"/>
                <w:highlight w:val="none"/>
                <w:lang w:val="zh-CN"/>
              </w:rPr>
              <w:t>。</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文字处理支持类似书页的阅读文档方式，一次只读一页并排查看页面，方便更快更精确的阅读浏览。</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文字处理PDF转Word功能服务，方便企业将PDF文件转换成Doc格式文件。电子表格能够通过强大直观的分析功能，帮助用户进行敏锐的洞察分析。电子表格支持重复项突出显示，方便查找、标记出重复的数据。</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hint="default" w:ascii="宋体" w:hAnsi="宋体" w:eastAsia="宋体" w:cs="宋体"/>
                <w:color w:val="auto"/>
                <w:szCs w:val="21"/>
                <w:highlight w:val="none"/>
                <w:lang w:val="zh-CN"/>
              </w:rPr>
            </w:pPr>
            <w:r>
              <w:rPr>
                <w:rFonts w:ascii="宋体" w:hAnsi="宋体" w:eastAsia="宋体" w:cs="宋体"/>
                <w:color w:val="auto"/>
                <w:szCs w:val="21"/>
                <w:highlight w:val="none"/>
                <w:lang w:val="zh-CN"/>
              </w:rPr>
              <w:t>电子表格支持表格筛选计数功能，表格筛选中，可以统计每个数据的统计预览、并能够导出数据，直观的了解数据信息，协助用户快捷的分析数据。</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电子表格支持更多的新增函数</w:t>
            </w:r>
            <w:r>
              <w:rPr>
                <w:rFonts w:ascii="宋体" w:hAnsi="宋体" w:eastAsia="宋体" w:cs="宋体"/>
                <w:color w:val="auto"/>
                <w:szCs w:val="21"/>
                <w:highlight w:val="none"/>
                <w:lang w:val="zh-CN"/>
              </w:rPr>
              <w:t>，</w:t>
            </w:r>
            <w:r>
              <w:rPr>
                <w:rFonts w:hint="default" w:ascii="宋体" w:hAnsi="宋体" w:eastAsia="宋体" w:cs="宋体"/>
                <w:color w:val="auto"/>
                <w:szCs w:val="21"/>
                <w:highlight w:val="none"/>
                <w:lang w:val="zh-CN"/>
              </w:rPr>
              <w:t>包括支持</w:t>
            </w:r>
            <w:r>
              <w:rPr>
                <w:rFonts w:ascii="宋体" w:hAnsi="宋体" w:eastAsia="宋体" w:cs="宋体"/>
                <w:color w:val="auto"/>
                <w:szCs w:val="21"/>
                <w:highlight w:val="none"/>
                <w:lang w:val="zh-CN"/>
              </w:rPr>
              <w:t>：c</w:t>
            </w:r>
            <w:r>
              <w:rPr>
                <w:rFonts w:hint="default" w:ascii="宋体" w:hAnsi="宋体" w:eastAsia="宋体" w:cs="宋体"/>
                <w:color w:val="auto"/>
                <w:szCs w:val="21"/>
                <w:highlight w:val="none"/>
                <w:lang w:val="zh-CN"/>
              </w:rPr>
              <w:t>oncat</w:t>
            </w:r>
            <w:r>
              <w:rPr>
                <w:rFonts w:ascii="宋体" w:hAnsi="宋体" w:eastAsia="宋体" w:cs="宋体"/>
                <w:color w:val="auto"/>
                <w:szCs w:val="21"/>
                <w:highlight w:val="none"/>
                <w:lang w:val="zh-CN"/>
              </w:rPr>
              <w:t>、</w:t>
            </w:r>
            <w:r>
              <w:rPr>
                <w:rFonts w:hint="default" w:ascii="宋体" w:hAnsi="宋体" w:eastAsia="宋体" w:cs="宋体"/>
                <w:color w:val="auto"/>
                <w:szCs w:val="21"/>
                <w:highlight w:val="none"/>
                <w:lang w:val="zh-CN"/>
              </w:rPr>
              <w:t>ifs</w:t>
            </w:r>
            <w:r>
              <w:rPr>
                <w:rFonts w:ascii="宋体" w:hAnsi="宋体" w:eastAsia="宋体" w:cs="宋体"/>
                <w:color w:val="auto"/>
                <w:szCs w:val="21"/>
                <w:highlight w:val="none"/>
                <w:lang w:val="zh-CN"/>
              </w:rPr>
              <w:t>、</w:t>
            </w:r>
            <w:r>
              <w:rPr>
                <w:rFonts w:hint="default" w:ascii="宋体" w:hAnsi="宋体" w:eastAsia="宋体" w:cs="宋体"/>
                <w:color w:val="auto"/>
                <w:szCs w:val="21"/>
                <w:highlight w:val="none"/>
                <w:lang w:val="zh-CN"/>
              </w:rPr>
              <w:t>maxifs</w:t>
            </w:r>
            <w:r>
              <w:rPr>
                <w:rFonts w:ascii="宋体" w:hAnsi="宋体" w:eastAsia="宋体" w:cs="宋体"/>
                <w:color w:val="auto"/>
                <w:szCs w:val="21"/>
                <w:highlight w:val="none"/>
                <w:lang w:val="zh-CN"/>
              </w:rPr>
              <w:t>、</w:t>
            </w:r>
            <w:r>
              <w:rPr>
                <w:rFonts w:hint="default" w:ascii="宋体" w:hAnsi="宋体" w:eastAsia="宋体" w:cs="宋体"/>
                <w:color w:val="auto"/>
                <w:szCs w:val="21"/>
                <w:highlight w:val="none"/>
                <w:lang w:val="zh-CN"/>
              </w:rPr>
              <w:t>minifs</w:t>
            </w:r>
            <w:r>
              <w:rPr>
                <w:rFonts w:ascii="宋体" w:hAnsi="宋体" w:eastAsia="宋体" w:cs="宋体"/>
                <w:color w:val="auto"/>
                <w:szCs w:val="21"/>
                <w:highlight w:val="none"/>
                <w:lang w:val="zh-CN"/>
              </w:rPr>
              <w:t>、</w:t>
            </w:r>
            <w:r>
              <w:rPr>
                <w:rFonts w:hint="default" w:ascii="宋体" w:hAnsi="宋体" w:eastAsia="宋体" w:cs="宋体"/>
                <w:color w:val="auto"/>
                <w:szCs w:val="21"/>
                <w:highlight w:val="none"/>
                <w:lang w:val="zh-CN"/>
              </w:rPr>
              <w:t>switch</w:t>
            </w:r>
            <w:r>
              <w:rPr>
                <w:rFonts w:ascii="宋体" w:hAnsi="宋体" w:eastAsia="宋体" w:cs="宋体"/>
                <w:color w:val="auto"/>
                <w:szCs w:val="21"/>
                <w:highlight w:val="none"/>
                <w:lang w:val="zh-CN"/>
              </w:rPr>
              <w:t>、</w:t>
            </w:r>
            <w:r>
              <w:rPr>
                <w:rFonts w:hint="default" w:ascii="宋体" w:hAnsi="宋体" w:eastAsia="宋体" w:cs="宋体"/>
                <w:color w:val="auto"/>
                <w:szCs w:val="21"/>
                <w:highlight w:val="none"/>
                <w:lang w:val="zh-CN"/>
              </w:rPr>
              <w:t>testjoin等方便表格的编辑计算</w:t>
            </w:r>
            <w:r>
              <w:rPr>
                <w:rFonts w:ascii="宋体" w:hAnsi="宋体" w:eastAsia="宋体" w:cs="宋体"/>
                <w:color w:val="auto"/>
                <w:szCs w:val="21"/>
                <w:highlight w:val="none"/>
                <w:lang w:val="zh-CN"/>
              </w:rPr>
              <w:t>。</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hint="default" w:ascii="宋体" w:hAnsi="宋体" w:eastAsia="宋体" w:cs="宋体"/>
                <w:color w:val="auto"/>
                <w:szCs w:val="21"/>
                <w:highlight w:val="none"/>
                <w:lang w:val="zh-CN"/>
              </w:rPr>
            </w:pPr>
            <w:r>
              <w:rPr>
                <w:rFonts w:hint="default" w:ascii="宋体" w:hAnsi="宋体" w:eastAsia="宋体" w:cs="宋体"/>
                <w:color w:val="auto"/>
                <w:szCs w:val="21"/>
                <w:highlight w:val="none"/>
                <w:lang w:val="zh-CN"/>
              </w:rPr>
              <w:t>电子表格支持表格数据为地理区域类型时提供地图图表展示</w:t>
            </w:r>
            <w:r>
              <w:rPr>
                <w:rFonts w:ascii="宋体" w:hAnsi="宋体" w:eastAsia="宋体" w:cs="宋体"/>
                <w:color w:val="auto"/>
                <w:szCs w:val="21"/>
                <w:highlight w:val="none"/>
                <w:lang w:val="zh-CN"/>
              </w:rPr>
              <w:t>、通过</w:t>
            </w:r>
            <w:r>
              <w:rPr>
                <w:rFonts w:hint="default" w:ascii="宋体" w:hAnsi="宋体" w:eastAsia="宋体" w:cs="宋体"/>
                <w:color w:val="auto"/>
                <w:szCs w:val="21"/>
                <w:highlight w:val="none"/>
                <w:lang w:val="zh-CN"/>
              </w:rPr>
              <w:t>漏洞图可以展示数据对比分析</w:t>
            </w:r>
            <w:r>
              <w:rPr>
                <w:rFonts w:ascii="宋体" w:hAnsi="宋体" w:eastAsia="宋体" w:cs="宋体"/>
                <w:color w:val="auto"/>
                <w:szCs w:val="21"/>
                <w:highlight w:val="none"/>
                <w:lang w:val="zh-CN"/>
              </w:rPr>
              <w:t>。</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ascii="宋体" w:hAnsi="宋体" w:eastAsia="宋体" w:cs="宋体"/>
                <w:color w:val="auto"/>
                <w:szCs w:val="21"/>
                <w:highlight w:val="none"/>
                <w:lang w:val="zh-CN"/>
              </w:rPr>
            </w:pPr>
            <w:r>
              <w:rPr>
                <w:rFonts w:hint="default" w:ascii="宋体" w:hAnsi="宋体" w:eastAsia="宋体" w:cs="宋体"/>
                <w:color w:val="auto"/>
                <w:szCs w:val="21"/>
                <w:highlight w:val="none"/>
                <w:lang w:val="zh-CN"/>
              </w:rPr>
              <w:t>电子表格支持</w:t>
            </w:r>
            <w:r>
              <w:rPr>
                <w:rFonts w:ascii="宋体" w:hAnsi="宋体" w:eastAsia="宋体" w:cs="宋体"/>
                <w:color w:val="auto"/>
                <w:szCs w:val="21"/>
                <w:highlight w:val="none"/>
                <w:lang w:val="zh-CN"/>
              </w:rPr>
              <w:t>可缩放的向量图形 (SVG)，将 SVG 图标转换为形状，使用 3D 来增加工作簿的可视感和创意感。</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电子表格提供表格函数智能提示，可以在智能提醒用户函数中需要填写的内容及样式，辅助用户填写函数公式。</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电子表格支持多张工作表或者多份sheet的数据智能合并。解决工作中多份数据合并处理的问题，提高工作效率。</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演示文档能够制作极具感染力的幻灯片，并轻松与他人分享。提供幻灯片素材、模版、范文等功能。支持均匀地排列和隔开对象。</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演示文档支持现在支持更多的多媒体格式和更多高清晰度内容。</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演示文档支持用手指点击或用鼠标双击以放大文档中的表格、图表和图像。投标产品支持灾难恢复功能，当突然发生如断电、死机等灾难性故障，系统重起后可通过备份管理功能找到灾难前的备份内容。</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宏代码兼容：能直接打开微软创建的宏文档，并运行宏代码。兼容基于COM技术的插件接口标准，能够加载已有的常用插件。</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支持Windows、Android、IOS等多平台环境，提供二次开发接口，移动端演示文档支持多人共享演示播放。</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提供浏览器嵌入ActiveX功能和浏览器直接访问的功能 ，二次开发能够支持JS、VB、typescript语言，并且提供最好的性能体验。</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提供内置或者保留二次开发接口的方式提供对于痕迹保留、全文检索、批注、电子签章、文件流等常用功能，用以保证办公自动。</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ascii="宋体" w:hAnsi="宋体" w:eastAsia="宋体" w:cs="宋体"/>
                <w:color w:val="auto"/>
                <w:szCs w:val="21"/>
                <w:highlight w:val="none"/>
                <w:lang w:val="zh-CN"/>
              </w:rPr>
            </w:pPr>
            <w:r>
              <w:rPr>
                <w:rFonts w:ascii="宋体" w:hAnsi="宋体" w:eastAsia="宋体" w:cs="宋体"/>
                <w:color w:val="auto"/>
                <w:szCs w:val="21"/>
                <w:highlight w:val="none"/>
                <w:lang w:val="zh-CN"/>
              </w:rPr>
              <w:t>不用第三方插件，能够提供输出PDF、XPS等只读文件，用来保证文档在大多数计算机上的外观都相同，并且保留字体、格式和图像，以及不得让他人轻易修改内容，便于传阅。</w:t>
            </w:r>
          </w:p>
          <w:p>
            <w:pPr>
              <w:pageBreakBefore w:val="0"/>
              <w:numPr>
                <w:ilvl w:val="0"/>
                <w:numId w:val="3"/>
              </w:numPr>
              <w:tabs>
                <w:tab w:val="left" w:pos="0"/>
              </w:tabs>
              <w:kinsoku/>
              <w:wordWrap/>
              <w:overflowPunct/>
              <w:topLinePunct w:val="0"/>
              <w:autoSpaceDE w:val="0"/>
              <w:autoSpaceDN w:val="0"/>
              <w:bidi w:val="0"/>
              <w:adjustRightInd w:val="0"/>
              <w:snapToGrid/>
              <w:spacing w:beforeAutospacing="0" w:afterAutospacing="0" w:line="240" w:lineRule="auto"/>
              <w:ind w:left="0" w:firstLine="0"/>
              <w:rPr>
                <w:rFonts w:ascii="宋体" w:hAnsi="宋体" w:eastAsia="宋体" w:cs="宋体"/>
                <w:color w:val="auto"/>
                <w:szCs w:val="21"/>
                <w:highlight w:val="none"/>
              </w:rPr>
            </w:pPr>
            <w:r>
              <w:rPr>
                <w:rFonts w:ascii="宋体" w:hAnsi="宋体" w:eastAsia="宋体" w:cs="宋体"/>
                <w:color w:val="auto"/>
                <w:szCs w:val="21"/>
                <w:highlight w:val="none"/>
                <w:lang w:val="zh-CN"/>
              </w:rPr>
              <w:t>支持信息管理权限技术，能够有效地保护文档的安全性，创建受保护的文档。权限需分为只读、更改和完全控制三种，能够控制用户浏览、打印、转发、复制等动作。</w:t>
            </w:r>
          </w:p>
        </w:tc>
      </w:tr>
    </w:tbl>
    <w:p>
      <w:pPr>
        <w:pageBreakBefore w:val="0"/>
        <w:widowControl/>
        <w:kinsoku/>
        <w:wordWrap/>
        <w:overflowPunct/>
        <w:topLinePunct w:val="0"/>
        <w:bidi w:val="0"/>
        <w:snapToGrid/>
        <w:spacing w:beforeAutospacing="0" w:afterAutospacing="0" w:line="240" w:lineRule="auto"/>
        <w:ind w:firstLine="640" w:firstLineChars="200"/>
        <w:jc w:val="left"/>
        <w:rPr>
          <w:rFonts w:hint="eastAsia" w:ascii="宋体"/>
          <w:color w:val="auto"/>
          <w:sz w:val="32"/>
          <w:szCs w:val="32"/>
          <w:highlight w:val="none"/>
        </w:rPr>
      </w:pPr>
    </w:p>
    <w:bookmarkEnd w:id="1"/>
    <w:p>
      <w:pPr>
        <w:pStyle w:val="9"/>
        <w:pageBreakBefore w:val="0"/>
        <w:kinsoku/>
        <w:wordWrap/>
        <w:overflowPunct/>
        <w:topLinePunct w:val="0"/>
        <w:bidi w:val="0"/>
        <w:snapToGrid/>
        <w:spacing w:beforeAutospacing="0" w:afterAutospacing="0" w:line="240" w:lineRule="auto"/>
        <w:ind w:firstLine="0" w:firstLineChars="0"/>
        <w:jc w:val="left"/>
        <w:rPr>
          <w:rFonts w:hint="eastAsia"/>
          <w:color w:val="auto"/>
          <w:highlight w:val="none"/>
        </w:rPr>
      </w:pPr>
    </w:p>
    <w:p>
      <w:pPr>
        <w:pageBreakBefore w:val="0"/>
        <w:kinsoku/>
        <w:wordWrap/>
        <w:overflowPunct/>
        <w:topLinePunct w:val="0"/>
        <w:bidi w:val="0"/>
        <w:snapToGrid/>
        <w:spacing w:beforeAutospacing="0" w:afterAutospacing="0" w:line="240" w:lineRule="auto"/>
        <w:rPr>
          <w:color w:val="auto"/>
          <w:highlight w:val="none"/>
        </w:rPr>
      </w:pPr>
    </w:p>
    <w:sectPr>
      <w:headerReference r:id="rId3" w:type="default"/>
      <w:footerReference r:id="rId4" w:type="default"/>
      <w:pgSz w:w="11906" w:h="16838"/>
      <w:pgMar w:top="1440" w:right="1797" w:bottom="1440" w:left="1797" w:header="851" w:footer="850"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7A"/>
    <w:family w:val="auto"/>
    <w:pitch w:val="default"/>
    <w:sig w:usb0="00000000" w:usb1="00000000" w:usb2="00000016" w:usb3="00000000" w:csb0="0004000F" w:csb1="00000000"/>
  </w:font>
  <w:font w:name="仿宋">
    <w:panose1 w:val="02010609060101010101"/>
    <w:charset w:val="7A"/>
    <w:family w:val="modern"/>
    <w:pitch w:val="default"/>
    <w:sig w:usb0="800002BF" w:usb1="38CF7CFA" w:usb2="00000016" w:usb3="00000000" w:csb0="00040001" w:csb1="00000000"/>
  </w:font>
  <w:font w:name="Segoe UI">
    <w:panose1 w:val="020B0502040204020203"/>
    <w:charset w:val="00"/>
    <w:family w:val="swiss"/>
    <w:pitch w:val="default"/>
    <w:sig w:usb0="E10022FF" w:usb1="C000E47F" w:usb2="00000029" w:usb3="00000000" w:csb0="200001DF" w:csb1="2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jc w:val="center"/>
      <w:rPr>
        <w:rFonts w:hint="eastAsia"/>
      </w:rPr>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32</w:t>
    </w:r>
    <w:r>
      <w:rPr>
        <w:kern w:val="0"/>
        <w:szCs w:val="21"/>
      </w:rPr>
      <w:fldChar w:fldCharType="end"/>
    </w:r>
    <w:r>
      <w:rPr>
        <w:kern w:val="0"/>
        <w:szCs w:val="21"/>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1"/>
      </w:pBdr>
      <w:tabs>
        <w:tab w:val="left" w:pos="0"/>
        <w:tab w:val="left" w:pos="180"/>
      </w:tabs>
      <w:jc w:val="right"/>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multilevel"/>
    <w:tmpl w:val="00000002"/>
    <w:lvl w:ilvl="0" w:tentative="0">
      <w:start w:val="1"/>
      <w:numFmt w:val="decimal"/>
      <w:lvlText w:val="%1."/>
      <w:lvlJc w:val="left"/>
      <w:pPr>
        <w:ind w:left="526" w:hanging="420"/>
      </w:pPr>
      <w:rPr>
        <w:rFonts w:hint="default"/>
      </w:rPr>
    </w:lvl>
    <w:lvl w:ilvl="1" w:tentative="0">
      <w:start w:val="1"/>
      <w:numFmt w:val="bullet"/>
      <w:lvlText w:val=""/>
      <w:lvlJc w:val="left"/>
      <w:pPr>
        <w:ind w:left="946" w:hanging="420"/>
      </w:pPr>
      <w:rPr>
        <w:rFonts w:hint="default" w:ascii="Wingdings" w:hAnsi="Wingdings"/>
      </w:rPr>
    </w:lvl>
    <w:lvl w:ilvl="2" w:tentative="0">
      <w:start w:val="1"/>
      <w:numFmt w:val="bullet"/>
      <w:lvlText w:val=""/>
      <w:lvlJc w:val="left"/>
      <w:pPr>
        <w:ind w:left="1366" w:hanging="420"/>
      </w:pPr>
      <w:rPr>
        <w:rFonts w:hint="default" w:ascii="Wingdings" w:hAnsi="Wingdings"/>
      </w:rPr>
    </w:lvl>
    <w:lvl w:ilvl="3" w:tentative="0">
      <w:start w:val="1"/>
      <w:numFmt w:val="bullet"/>
      <w:lvlText w:val=""/>
      <w:lvlJc w:val="left"/>
      <w:pPr>
        <w:ind w:left="1786" w:hanging="420"/>
      </w:pPr>
      <w:rPr>
        <w:rFonts w:hint="default" w:ascii="Wingdings" w:hAnsi="Wingdings"/>
      </w:rPr>
    </w:lvl>
    <w:lvl w:ilvl="4" w:tentative="0">
      <w:start w:val="1"/>
      <w:numFmt w:val="bullet"/>
      <w:lvlText w:val=""/>
      <w:lvlJc w:val="left"/>
      <w:pPr>
        <w:ind w:left="2206" w:hanging="420"/>
      </w:pPr>
      <w:rPr>
        <w:rFonts w:hint="default" w:ascii="Wingdings" w:hAnsi="Wingdings"/>
      </w:rPr>
    </w:lvl>
    <w:lvl w:ilvl="5" w:tentative="0">
      <w:start w:val="1"/>
      <w:numFmt w:val="bullet"/>
      <w:lvlText w:val=""/>
      <w:lvlJc w:val="left"/>
      <w:pPr>
        <w:ind w:left="2626" w:hanging="420"/>
      </w:pPr>
      <w:rPr>
        <w:rFonts w:hint="default" w:ascii="Wingdings" w:hAnsi="Wingdings"/>
      </w:rPr>
    </w:lvl>
    <w:lvl w:ilvl="6" w:tentative="0">
      <w:start w:val="1"/>
      <w:numFmt w:val="bullet"/>
      <w:lvlText w:val=""/>
      <w:lvlJc w:val="left"/>
      <w:pPr>
        <w:ind w:left="3046" w:hanging="420"/>
      </w:pPr>
      <w:rPr>
        <w:rFonts w:hint="default" w:ascii="Wingdings" w:hAnsi="Wingdings"/>
      </w:rPr>
    </w:lvl>
    <w:lvl w:ilvl="7" w:tentative="0">
      <w:start w:val="1"/>
      <w:numFmt w:val="bullet"/>
      <w:lvlText w:val=""/>
      <w:lvlJc w:val="left"/>
      <w:pPr>
        <w:ind w:left="3466" w:hanging="420"/>
      </w:pPr>
      <w:rPr>
        <w:rFonts w:hint="default" w:ascii="Wingdings" w:hAnsi="Wingdings"/>
      </w:rPr>
    </w:lvl>
    <w:lvl w:ilvl="8" w:tentative="0">
      <w:start w:val="1"/>
      <w:numFmt w:val="bullet"/>
      <w:lvlText w:val=""/>
      <w:lvlJc w:val="left"/>
      <w:pPr>
        <w:ind w:left="3886" w:hanging="420"/>
      </w:pPr>
      <w:rPr>
        <w:rFonts w:hint="default" w:ascii="Wingdings" w:hAnsi="Wingdings"/>
      </w:rPr>
    </w:lvl>
  </w:abstractNum>
  <w:abstractNum w:abstractNumId="1">
    <w:nsid w:val="00000004"/>
    <w:multiLevelType w:val="multilevel"/>
    <w:tmpl w:val="00000004"/>
    <w:lvl w:ilvl="0" w:tentative="0">
      <w:start w:val="1"/>
      <w:numFmt w:val="decimal"/>
      <w:lvlText w:val="%1."/>
      <w:lvlJc w:val="left"/>
      <w:pPr>
        <w:ind w:left="526" w:hanging="420"/>
      </w:pPr>
    </w:lvl>
    <w:lvl w:ilvl="1" w:tentative="0">
      <w:start w:val="1"/>
      <w:numFmt w:val="lowerLetter"/>
      <w:lvlText w:val="%2)"/>
      <w:lvlJc w:val="left"/>
      <w:pPr>
        <w:ind w:left="946" w:hanging="420"/>
      </w:pPr>
    </w:lvl>
    <w:lvl w:ilvl="2" w:tentative="0">
      <w:start w:val="1"/>
      <w:numFmt w:val="lowerRoman"/>
      <w:lvlText w:val="%3."/>
      <w:lvlJc w:val="right"/>
      <w:pPr>
        <w:ind w:left="1366" w:hanging="420"/>
      </w:pPr>
    </w:lvl>
    <w:lvl w:ilvl="3" w:tentative="0">
      <w:start w:val="1"/>
      <w:numFmt w:val="decimal"/>
      <w:lvlText w:val="%4."/>
      <w:lvlJc w:val="left"/>
      <w:pPr>
        <w:ind w:left="1786" w:hanging="420"/>
      </w:pPr>
    </w:lvl>
    <w:lvl w:ilvl="4" w:tentative="0">
      <w:start w:val="1"/>
      <w:numFmt w:val="lowerLetter"/>
      <w:lvlText w:val="%5)"/>
      <w:lvlJc w:val="left"/>
      <w:pPr>
        <w:ind w:left="2206" w:hanging="420"/>
      </w:pPr>
    </w:lvl>
    <w:lvl w:ilvl="5" w:tentative="0">
      <w:start w:val="1"/>
      <w:numFmt w:val="lowerRoman"/>
      <w:lvlText w:val="%6."/>
      <w:lvlJc w:val="right"/>
      <w:pPr>
        <w:ind w:left="2626" w:hanging="420"/>
      </w:pPr>
    </w:lvl>
    <w:lvl w:ilvl="6" w:tentative="0">
      <w:start w:val="1"/>
      <w:numFmt w:val="decimal"/>
      <w:lvlText w:val="%7."/>
      <w:lvlJc w:val="left"/>
      <w:pPr>
        <w:ind w:left="3046" w:hanging="420"/>
      </w:pPr>
    </w:lvl>
    <w:lvl w:ilvl="7" w:tentative="0">
      <w:start w:val="1"/>
      <w:numFmt w:val="lowerLetter"/>
      <w:lvlText w:val="%8)"/>
      <w:lvlJc w:val="left"/>
      <w:pPr>
        <w:ind w:left="3466" w:hanging="420"/>
      </w:pPr>
    </w:lvl>
    <w:lvl w:ilvl="8" w:tentative="0">
      <w:start w:val="1"/>
      <w:numFmt w:val="lowerRoman"/>
      <w:lvlText w:val="%9."/>
      <w:lvlJc w:val="right"/>
      <w:pPr>
        <w:ind w:left="3886" w:hanging="420"/>
      </w:pPr>
    </w:lvl>
  </w:abstractNum>
  <w:abstractNum w:abstractNumId="2">
    <w:nsid w:val="00000005"/>
    <w:multiLevelType w:val="multilevel"/>
    <w:tmpl w:val="00000005"/>
    <w:lvl w:ilvl="0" w:tentative="0">
      <w:start w:val="1"/>
      <w:numFmt w:val="decimal"/>
      <w:lvlText w:val="%1."/>
      <w:lvlJc w:val="left"/>
      <w:pPr>
        <w:ind w:left="420" w:hanging="420"/>
      </w:pPr>
    </w:lvl>
    <w:lvl w:ilvl="1" w:tentative="0">
      <w:start w:val="0"/>
      <w:numFmt w:val="bullet"/>
      <w:lvlText w:val="★"/>
      <w:lvlJc w:val="left"/>
      <w:pPr>
        <w:ind w:left="735" w:hanging="315"/>
      </w:pPr>
      <w:rPr>
        <w:rFonts w:hint="eastAsia" w:ascii="等线" w:hAnsi="等线" w:eastAsia="等线" w:cs="宋体"/>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1YTc5M2RjYjYwZWUwMzEwZDdiZDE3MTdkNWU4OTcifQ=="/>
  </w:docVars>
  <w:rsids>
    <w:rsidRoot w:val="00000000"/>
    <w:rsid w:val="00022C9B"/>
    <w:rsid w:val="00103AAD"/>
    <w:rsid w:val="007F5EC0"/>
    <w:rsid w:val="00AD0D7E"/>
    <w:rsid w:val="00F7073F"/>
    <w:rsid w:val="013003E3"/>
    <w:rsid w:val="01A4448C"/>
    <w:rsid w:val="025A1EC2"/>
    <w:rsid w:val="02850B07"/>
    <w:rsid w:val="03162034"/>
    <w:rsid w:val="031C0425"/>
    <w:rsid w:val="032C1B90"/>
    <w:rsid w:val="0346293E"/>
    <w:rsid w:val="03B17EF6"/>
    <w:rsid w:val="03CC3E26"/>
    <w:rsid w:val="04960398"/>
    <w:rsid w:val="05484EC5"/>
    <w:rsid w:val="05DC49F0"/>
    <w:rsid w:val="061879C8"/>
    <w:rsid w:val="06197C87"/>
    <w:rsid w:val="06A0039E"/>
    <w:rsid w:val="06DB5425"/>
    <w:rsid w:val="073F540C"/>
    <w:rsid w:val="07B01D3D"/>
    <w:rsid w:val="07CD17BB"/>
    <w:rsid w:val="07EF1635"/>
    <w:rsid w:val="080A513C"/>
    <w:rsid w:val="081F4595"/>
    <w:rsid w:val="08AD5347"/>
    <w:rsid w:val="0903682E"/>
    <w:rsid w:val="097D24FB"/>
    <w:rsid w:val="099E2AA7"/>
    <w:rsid w:val="0A49725F"/>
    <w:rsid w:val="0A6E181E"/>
    <w:rsid w:val="0A792D1E"/>
    <w:rsid w:val="0AC2670C"/>
    <w:rsid w:val="0B0324ED"/>
    <w:rsid w:val="0B646D64"/>
    <w:rsid w:val="0C261321"/>
    <w:rsid w:val="0C3D5628"/>
    <w:rsid w:val="0C444487"/>
    <w:rsid w:val="0D0A368A"/>
    <w:rsid w:val="0D847BE6"/>
    <w:rsid w:val="0DF44F2A"/>
    <w:rsid w:val="0EA43522"/>
    <w:rsid w:val="0EBD3710"/>
    <w:rsid w:val="0EF13930"/>
    <w:rsid w:val="0F450CA5"/>
    <w:rsid w:val="0F60492D"/>
    <w:rsid w:val="100C5B91"/>
    <w:rsid w:val="1075245A"/>
    <w:rsid w:val="107570F0"/>
    <w:rsid w:val="109E74FE"/>
    <w:rsid w:val="10A5697C"/>
    <w:rsid w:val="10EE34DD"/>
    <w:rsid w:val="113A225E"/>
    <w:rsid w:val="11AA2BEA"/>
    <w:rsid w:val="11E04ABD"/>
    <w:rsid w:val="11F00103"/>
    <w:rsid w:val="121B6571"/>
    <w:rsid w:val="123A5722"/>
    <w:rsid w:val="1268788C"/>
    <w:rsid w:val="12721E1D"/>
    <w:rsid w:val="12844C3B"/>
    <w:rsid w:val="130C3EEA"/>
    <w:rsid w:val="132F37D9"/>
    <w:rsid w:val="1358739D"/>
    <w:rsid w:val="13D60BA8"/>
    <w:rsid w:val="13EC10BF"/>
    <w:rsid w:val="14681B3B"/>
    <w:rsid w:val="14BB0599"/>
    <w:rsid w:val="14DC192E"/>
    <w:rsid w:val="157C0B5E"/>
    <w:rsid w:val="16013BDA"/>
    <w:rsid w:val="16347AC0"/>
    <w:rsid w:val="16747CF9"/>
    <w:rsid w:val="16A26C3D"/>
    <w:rsid w:val="16C77654"/>
    <w:rsid w:val="16FC6BDF"/>
    <w:rsid w:val="17277B22"/>
    <w:rsid w:val="173E29B9"/>
    <w:rsid w:val="17AA464F"/>
    <w:rsid w:val="17B60056"/>
    <w:rsid w:val="17D266B5"/>
    <w:rsid w:val="17E22FCA"/>
    <w:rsid w:val="184A6A24"/>
    <w:rsid w:val="187A5854"/>
    <w:rsid w:val="18B052EF"/>
    <w:rsid w:val="18B249BB"/>
    <w:rsid w:val="18B67999"/>
    <w:rsid w:val="19902C9A"/>
    <w:rsid w:val="19CA4E95"/>
    <w:rsid w:val="19F531A3"/>
    <w:rsid w:val="1A8655D2"/>
    <w:rsid w:val="1B027798"/>
    <w:rsid w:val="1B1568B6"/>
    <w:rsid w:val="1B2553F7"/>
    <w:rsid w:val="1B7C69F0"/>
    <w:rsid w:val="1BD06FE6"/>
    <w:rsid w:val="1BF34C08"/>
    <w:rsid w:val="1C025447"/>
    <w:rsid w:val="1C2668A0"/>
    <w:rsid w:val="1C37729A"/>
    <w:rsid w:val="1CB53BAA"/>
    <w:rsid w:val="1CB7172E"/>
    <w:rsid w:val="1CEB64FA"/>
    <w:rsid w:val="1D282C7A"/>
    <w:rsid w:val="1D572F8C"/>
    <w:rsid w:val="1E2E4701"/>
    <w:rsid w:val="1E5626DE"/>
    <w:rsid w:val="1E733AFF"/>
    <w:rsid w:val="1E9F47F9"/>
    <w:rsid w:val="1EE77199"/>
    <w:rsid w:val="1EEB3A55"/>
    <w:rsid w:val="1F5C348D"/>
    <w:rsid w:val="1FE85C12"/>
    <w:rsid w:val="20343D77"/>
    <w:rsid w:val="20646394"/>
    <w:rsid w:val="20A5574B"/>
    <w:rsid w:val="20AD6596"/>
    <w:rsid w:val="20B713C5"/>
    <w:rsid w:val="20BE6181"/>
    <w:rsid w:val="20D562C2"/>
    <w:rsid w:val="2118697F"/>
    <w:rsid w:val="214E75E4"/>
    <w:rsid w:val="219503B7"/>
    <w:rsid w:val="21C6106C"/>
    <w:rsid w:val="21D632DD"/>
    <w:rsid w:val="21E05FE1"/>
    <w:rsid w:val="224938E1"/>
    <w:rsid w:val="22B06A49"/>
    <w:rsid w:val="22F87EF6"/>
    <w:rsid w:val="237D2F34"/>
    <w:rsid w:val="24080909"/>
    <w:rsid w:val="24613D46"/>
    <w:rsid w:val="24825D30"/>
    <w:rsid w:val="25184103"/>
    <w:rsid w:val="254C7B63"/>
    <w:rsid w:val="25F62926"/>
    <w:rsid w:val="26415C76"/>
    <w:rsid w:val="26606513"/>
    <w:rsid w:val="26BC4E22"/>
    <w:rsid w:val="276D5F48"/>
    <w:rsid w:val="278E2950"/>
    <w:rsid w:val="279233B3"/>
    <w:rsid w:val="27F1064D"/>
    <w:rsid w:val="28421C25"/>
    <w:rsid w:val="285E533F"/>
    <w:rsid w:val="28624F51"/>
    <w:rsid w:val="28CF4D03"/>
    <w:rsid w:val="28D94FC9"/>
    <w:rsid w:val="28F639D6"/>
    <w:rsid w:val="290D0428"/>
    <w:rsid w:val="29280442"/>
    <w:rsid w:val="2AA2515C"/>
    <w:rsid w:val="2AB20373"/>
    <w:rsid w:val="2AC366E3"/>
    <w:rsid w:val="2B8E148D"/>
    <w:rsid w:val="2BC6601B"/>
    <w:rsid w:val="2C322AAE"/>
    <w:rsid w:val="2C400993"/>
    <w:rsid w:val="2C9A288A"/>
    <w:rsid w:val="2D2F7DEF"/>
    <w:rsid w:val="2D311256"/>
    <w:rsid w:val="2D7D1479"/>
    <w:rsid w:val="2D860D20"/>
    <w:rsid w:val="2D88159B"/>
    <w:rsid w:val="2DD67889"/>
    <w:rsid w:val="2DEC1903"/>
    <w:rsid w:val="2E4C7D61"/>
    <w:rsid w:val="2E745C24"/>
    <w:rsid w:val="2E941037"/>
    <w:rsid w:val="2E954F0C"/>
    <w:rsid w:val="2EA53304"/>
    <w:rsid w:val="2EA7519F"/>
    <w:rsid w:val="2EAD4B3B"/>
    <w:rsid w:val="2EC667D2"/>
    <w:rsid w:val="2EE53134"/>
    <w:rsid w:val="2F290C66"/>
    <w:rsid w:val="2F2F73F1"/>
    <w:rsid w:val="2FBB39CD"/>
    <w:rsid w:val="302A2BDC"/>
    <w:rsid w:val="304A5B58"/>
    <w:rsid w:val="30A0045D"/>
    <w:rsid w:val="30DC58F2"/>
    <w:rsid w:val="30E63946"/>
    <w:rsid w:val="31040546"/>
    <w:rsid w:val="31AA6737"/>
    <w:rsid w:val="31C6726F"/>
    <w:rsid w:val="32D26C7E"/>
    <w:rsid w:val="32EC2365"/>
    <w:rsid w:val="33A7766E"/>
    <w:rsid w:val="348769D0"/>
    <w:rsid w:val="34A32E97"/>
    <w:rsid w:val="34C80044"/>
    <w:rsid w:val="357B4A89"/>
    <w:rsid w:val="358000E9"/>
    <w:rsid w:val="3591488E"/>
    <w:rsid w:val="359732CA"/>
    <w:rsid w:val="35D35108"/>
    <w:rsid w:val="35F440B0"/>
    <w:rsid w:val="35F973E5"/>
    <w:rsid w:val="360A336D"/>
    <w:rsid w:val="36355D11"/>
    <w:rsid w:val="365250F7"/>
    <w:rsid w:val="365F490B"/>
    <w:rsid w:val="367C1308"/>
    <w:rsid w:val="36A92687"/>
    <w:rsid w:val="370734EA"/>
    <w:rsid w:val="373A625C"/>
    <w:rsid w:val="377E3964"/>
    <w:rsid w:val="37E2599E"/>
    <w:rsid w:val="388B6D0E"/>
    <w:rsid w:val="38F05F0B"/>
    <w:rsid w:val="39836710"/>
    <w:rsid w:val="39D3177B"/>
    <w:rsid w:val="3A115500"/>
    <w:rsid w:val="3A193ED6"/>
    <w:rsid w:val="3A5E1339"/>
    <w:rsid w:val="3A8838BC"/>
    <w:rsid w:val="3ACE3A74"/>
    <w:rsid w:val="3B114EC6"/>
    <w:rsid w:val="3B533F34"/>
    <w:rsid w:val="3BA32FF1"/>
    <w:rsid w:val="3BCA4EE2"/>
    <w:rsid w:val="3BF419D6"/>
    <w:rsid w:val="3C49495E"/>
    <w:rsid w:val="3C4E7DB9"/>
    <w:rsid w:val="3C5E3CF1"/>
    <w:rsid w:val="3C7F7363"/>
    <w:rsid w:val="3CAD6BCF"/>
    <w:rsid w:val="3CFC02DF"/>
    <w:rsid w:val="3D9D5557"/>
    <w:rsid w:val="3DF9686C"/>
    <w:rsid w:val="3E290FCC"/>
    <w:rsid w:val="3E753F74"/>
    <w:rsid w:val="3E986EC2"/>
    <w:rsid w:val="3EA8114E"/>
    <w:rsid w:val="3EB74478"/>
    <w:rsid w:val="3F072968"/>
    <w:rsid w:val="3F993A97"/>
    <w:rsid w:val="3FB1213F"/>
    <w:rsid w:val="3FE1488A"/>
    <w:rsid w:val="3FF013E2"/>
    <w:rsid w:val="4012534A"/>
    <w:rsid w:val="401430F6"/>
    <w:rsid w:val="4026115E"/>
    <w:rsid w:val="405A642F"/>
    <w:rsid w:val="407602FE"/>
    <w:rsid w:val="40E76147"/>
    <w:rsid w:val="40F61DFB"/>
    <w:rsid w:val="42063B9F"/>
    <w:rsid w:val="435F1C30"/>
    <w:rsid w:val="43AC43C3"/>
    <w:rsid w:val="441A62DD"/>
    <w:rsid w:val="442B3518"/>
    <w:rsid w:val="443C24BD"/>
    <w:rsid w:val="447732F3"/>
    <w:rsid w:val="44EC5637"/>
    <w:rsid w:val="45175ACD"/>
    <w:rsid w:val="454D081C"/>
    <w:rsid w:val="455478C4"/>
    <w:rsid w:val="45B877BD"/>
    <w:rsid w:val="45BF6A85"/>
    <w:rsid w:val="45D33874"/>
    <w:rsid w:val="45E836A5"/>
    <w:rsid w:val="45F913B6"/>
    <w:rsid w:val="46BB6C11"/>
    <w:rsid w:val="47084660"/>
    <w:rsid w:val="475A2795"/>
    <w:rsid w:val="47943B0F"/>
    <w:rsid w:val="47BE7EB6"/>
    <w:rsid w:val="481D77ED"/>
    <w:rsid w:val="48281F46"/>
    <w:rsid w:val="48480E65"/>
    <w:rsid w:val="489B72D7"/>
    <w:rsid w:val="49122DF2"/>
    <w:rsid w:val="49132428"/>
    <w:rsid w:val="49215742"/>
    <w:rsid w:val="4991472D"/>
    <w:rsid w:val="49AA5634"/>
    <w:rsid w:val="4A357431"/>
    <w:rsid w:val="4A373AF0"/>
    <w:rsid w:val="4A6013C9"/>
    <w:rsid w:val="4A610418"/>
    <w:rsid w:val="4A83576A"/>
    <w:rsid w:val="4AF928E1"/>
    <w:rsid w:val="4BA667CD"/>
    <w:rsid w:val="4BEE4426"/>
    <w:rsid w:val="4C417A91"/>
    <w:rsid w:val="4C42711D"/>
    <w:rsid w:val="4C67532F"/>
    <w:rsid w:val="4C844EA2"/>
    <w:rsid w:val="4CF6476F"/>
    <w:rsid w:val="4D0463E1"/>
    <w:rsid w:val="4D922625"/>
    <w:rsid w:val="4DB364D6"/>
    <w:rsid w:val="4DE7466A"/>
    <w:rsid w:val="4EAC7B03"/>
    <w:rsid w:val="4F226F13"/>
    <w:rsid w:val="4F5009B6"/>
    <w:rsid w:val="4FFE329A"/>
    <w:rsid w:val="500F159A"/>
    <w:rsid w:val="50527382"/>
    <w:rsid w:val="506F0507"/>
    <w:rsid w:val="50925A40"/>
    <w:rsid w:val="51227AA4"/>
    <w:rsid w:val="512562B1"/>
    <w:rsid w:val="517B1714"/>
    <w:rsid w:val="51811C58"/>
    <w:rsid w:val="51A632AE"/>
    <w:rsid w:val="51AC091B"/>
    <w:rsid w:val="51BF342A"/>
    <w:rsid w:val="526127BC"/>
    <w:rsid w:val="52D031F9"/>
    <w:rsid w:val="53232B3C"/>
    <w:rsid w:val="533B40C7"/>
    <w:rsid w:val="53DD6A6E"/>
    <w:rsid w:val="54072CDA"/>
    <w:rsid w:val="54226E38"/>
    <w:rsid w:val="543F304B"/>
    <w:rsid w:val="546A0845"/>
    <w:rsid w:val="54925F19"/>
    <w:rsid w:val="54C11DC1"/>
    <w:rsid w:val="54E05A8C"/>
    <w:rsid w:val="55166B59"/>
    <w:rsid w:val="55391957"/>
    <w:rsid w:val="559B665C"/>
    <w:rsid w:val="55B90BB4"/>
    <w:rsid w:val="55BF49AF"/>
    <w:rsid w:val="55C23CF7"/>
    <w:rsid w:val="55D87467"/>
    <w:rsid w:val="56CA5B14"/>
    <w:rsid w:val="56CB1D8C"/>
    <w:rsid w:val="56E06133"/>
    <w:rsid w:val="56E14406"/>
    <w:rsid w:val="570B4868"/>
    <w:rsid w:val="572A1EAC"/>
    <w:rsid w:val="5795765F"/>
    <w:rsid w:val="57AD3CCB"/>
    <w:rsid w:val="57FF36F5"/>
    <w:rsid w:val="583842CE"/>
    <w:rsid w:val="58663158"/>
    <w:rsid w:val="589D2A78"/>
    <w:rsid w:val="58C2013D"/>
    <w:rsid w:val="58F15866"/>
    <w:rsid w:val="58FA413E"/>
    <w:rsid w:val="59144A02"/>
    <w:rsid w:val="59265E36"/>
    <w:rsid w:val="59464343"/>
    <w:rsid w:val="59A92A36"/>
    <w:rsid w:val="59AF148A"/>
    <w:rsid w:val="59BB2208"/>
    <w:rsid w:val="59D933E1"/>
    <w:rsid w:val="5ADC3BBC"/>
    <w:rsid w:val="5AE23315"/>
    <w:rsid w:val="5AF77C43"/>
    <w:rsid w:val="5B1E3225"/>
    <w:rsid w:val="5B8E71BC"/>
    <w:rsid w:val="5B9F5134"/>
    <w:rsid w:val="5BCD3356"/>
    <w:rsid w:val="5C057F98"/>
    <w:rsid w:val="5C4F26F5"/>
    <w:rsid w:val="5C7D22C6"/>
    <w:rsid w:val="5CAF7940"/>
    <w:rsid w:val="5D541A1A"/>
    <w:rsid w:val="5D5C675F"/>
    <w:rsid w:val="5D971051"/>
    <w:rsid w:val="5DA411BA"/>
    <w:rsid w:val="5DCC18AB"/>
    <w:rsid w:val="5E1024B9"/>
    <w:rsid w:val="5E131C56"/>
    <w:rsid w:val="5E2D05F7"/>
    <w:rsid w:val="5EA61D71"/>
    <w:rsid w:val="5EC14D7A"/>
    <w:rsid w:val="5EC376DF"/>
    <w:rsid w:val="5F6E5E74"/>
    <w:rsid w:val="603A26E8"/>
    <w:rsid w:val="603E308C"/>
    <w:rsid w:val="607A7DC6"/>
    <w:rsid w:val="60A47A10"/>
    <w:rsid w:val="61A726E8"/>
    <w:rsid w:val="61B45692"/>
    <w:rsid w:val="61B5770B"/>
    <w:rsid w:val="621832E7"/>
    <w:rsid w:val="62470567"/>
    <w:rsid w:val="625C1207"/>
    <w:rsid w:val="62AD7902"/>
    <w:rsid w:val="62BC7819"/>
    <w:rsid w:val="62CC1525"/>
    <w:rsid w:val="63013D85"/>
    <w:rsid w:val="63230C5A"/>
    <w:rsid w:val="638B3231"/>
    <w:rsid w:val="639203CE"/>
    <w:rsid w:val="648971B6"/>
    <w:rsid w:val="648D7952"/>
    <w:rsid w:val="653F1041"/>
    <w:rsid w:val="663B1AE2"/>
    <w:rsid w:val="666A4A61"/>
    <w:rsid w:val="66893873"/>
    <w:rsid w:val="66D16D00"/>
    <w:rsid w:val="670F7E05"/>
    <w:rsid w:val="672D2B09"/>
    <w:rsid w:val="67705BA8"/>
    <w:rsid w:val="67D20F10"/>
    <w:rsid w:val="68053E2F"/>
    <w:rsid w:val="683611DF"/>
    <w:rsid w:val="687A518F"/>
    <w:rsid w:val="68D123AE"/>
    <w:rsid w:val="68DE3A84"/>
    <w:rsid w:val="68F64136"/>
    <w:rsid w:val="690352EA"/>
    <w:rsid w:val="696151DD"/>
    <w:rsid w:val="6A766824"/>
    <w:rsid w:val="6AB46A88"/>
    <w:rsid w:val="6B0451D5"/>
    <w:rsid w:val="6B085381"/>
    <w:rsid w:val="6B0E3CC2"/>
    <w:rsid w:val="6B9D4AB4"/>
    <w:rsid w:val="6BC25538"/>
    <w:rsid w:val="6BC82BD2"/>
    <w:rsid w:val="6BE10407"/>
    <w:rsid w:val="6BFE468A"/>
    <w:rsid w:val="6C2C16C5"/>
    <w:rsid w:val="6C3D2876"/>
    <w:rsid w:val="6C6C1AED"/>
    <w:rsid w:val="6C8B1321"/>
    <w:rsid w:val="6CD909D9"/>
    <w:rsid w:val="6D333821"/>
    <w:rsid w:val="6D6815B6"/>
    <w:rsid w:val="6D7D3E97"/>
    <w:rsid w:val="6E414B6E"/>
    <w:rsid w:val="6E460951"/>
    <w:rsid w:val="6E802516"/>
    <w:rsid w:val="6EC57C08"/>
    <w:rsid w:val="6EE3268C"/>
    <w:rsid w:val="6EFA658B"/>
    <w:rsid w:val="6F514C29"/>
    <w:rsid w:val="6F69609D"/>
    <w:rsid w:val="6FC773AC"/>
    <w:rsid w:val="70177E45"/>
    <w:rsid w:val="70397ACF"/>
    <w:rsid w:val="70423A1F"/>
    <w:rsid w:val="706B72FC"/>
    <w:rsid w:val="7084027D"/>
    <w:rsid w:val="709F0F7A"/>
    <w:rsid w:val="70A60396"/>
    <w:rsid w:val="70BD5F45"/>
    <w:rsid w:val="70D1025D"/>
    <w:rsid w:val="71141ED2"/>
    <w:rsid w:val="715B5FB0"/>
    <w:rsid w:val="71AE036D"/>
    <w:rsid w:val="71DF2DD5"/>
    <w:rsid w:val="71E53446"/>
    <w:rsid w:val="71F32D66"/>
    <w:rsid w:val="724C2C14"/>
    <w:rsid w:val="724C52C2"/>
    <w:rsid w:val="72835B9F"/>
    <w:rsid w:val="728E687E"/>
    <w:rsid w:val="731F6978"/>
    <w:rsid w:val="73C4368D"/>
    <w:rsid w:val="73CF1E10"/>
    <w:rsid w:val="74626D58"/>
    <w:rsid w:val="74D9723E"/>
    <w:rsid w:val="74E23E68"/>
    <w:rsid w:val="75447963"/>
    <w:rsid w:val="75EF3E21"/>
    <w:rsid w:val="75F91DEC"/>
    <w:rsid w:val="76C87037"/>
    <w:rsid w:val="7760586D"/>
    <w:rsid w:val="77887E08"/>
    <w:rsid w:val="77FF446C"/>
    <w:rsid w:val="789C02D7"/>
    <w:rsid w:val="78D828B8"/>
    <w:rsid w:val="79115AE3"/>
    <w:rsid w:val="793607E1"/>
    <w:rsid w:val="798A5333"/>
    <w:rsid w:val="7A112FAA"/>
    <w:rsid w:val="7A5678DF"/>
    <w:rsid w:val="7AAF5336"/>
    <w:rsid w:val="7AB72A5D"/>
    <w:rsid w:val="7B080425"/>
    <w:rsid w:val="7B7160E4"/>
    <w:rsid w:val="7B747FE7"/>
    <w:rsid w:val="7B7867C8"/>
    <w:rsid w:val="7BEC41F9"/>
    <w:rsid w:val="7BF049D7"/>
    <w:rsid w:val="7CD2680B"/>
    <w:rsid w:val="7D2377F4"/>
    <w:rsid w:val="7DAF1B89"/>
    <w:rsid w:val="7DB92A39"/>
    <w:rsid w:val="7E215394"/>
    <w:rsid w:val="7E294D75"/>
    <w:rsid w:val="7E6F44AA"/>
    <w:rsid w:val="7F0763FA"/>
    <w:rsid w:val="7F190080"/>
    <w:rsid w:val="7F704C49"/>
    <w:rsid w:val="7F9A035A"/>
    <w:rsid w:val="7FC531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等线" w:hAnsi="等线" w:eastAsia="等线" w:cs="等线"/>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rFonts w:ascii="等线" w:hAnsi="等线" w:eastAsia="等线" w:cs="等线"/>
      <w:b/>
      <w:bCs/>
      <w:kern w:val="44"/>
      <w:sz w:val="44"/>
      <w:szCs w:val="44"/>
    </w:rPr>
  </w:style>
  <w:style w:type="paragraph" w:styleId="4">
    <w:name w:val="heading 2"/>
    <w:basedOn w:val="1"/>
    <w:next w:val="1"/>
    <w:qFormat/>
    <w:uiPriority w:val="0"/>
    <w:pPr>
      <w:keepNext/>
      <w:keepLines/>
      <w:spacing w:before="260" w:beforeLines="0" w:after="260" w:afterLines="0" w:line="415" w:lineRule="auto"/>
      <w:outlineLvl w:val="1"/>
    </w:pPr>
    <w:rPr>
      <w:rFonts w:ascii="Arial" w:hAnsi="Arial" w:eastAsia="黑体" w:cs="等线"/>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黑体" w:hAnsi="等线" w:eastAsia="黑体" w:cs="等线"/>
      <w:lang w:val="en-US" w:eastAsia="zh-CN" w:bidi="ar-SA"/>
    </w:rPr>
  </w:style>
  <w:style w:type="paragraph" w:styleId="5">
    <w:name w:val="footer"/>
    <w:basedOn w:val="1"/>
    <w:qFormat/>
    <w:uiPriority w:val="0"/>
    <w:pPr>
      <w:tabs>
        <w:tab w:val="center" w:pos="4153"/>
        <w:tab w:val="right" w:pos="8306"/>
      </w:tabs>
      <w:snapToGrid w:val="0"/>
      <w:jc w:val="left"/>
    </w:pPr>
    <w:rPr>
      <w:rFonts w:ascii="等线" w:hAnsi="等线" w:eastAsia="等线" w:cs="等线"/>
      <w:sz w:val="18"/>
      <w:szCs w:val="18"/>
    </w:rPr>
  </w:style>
  <w:style w:type="character" w:styleId="8">
    <w:name w:val="Hyperlink"/>
    <w:qFormat/>
    <w:uiPriority w:val="0"/>
    <w:rPr>
      <w:rFonts w:ascii="等线" w:hAnsi="等线" w:eastAsia="等线" w:cs="等线"/>
      <w:color w:val="0000FF"/>
      <w:u w:val="single"/>
    </w:rPr>
  </w:style>
  <w:style w:type="paragraph" w:styleId="9">
    <w:name w:val="List Paragraph"/>
    <w:basedOn w:val="1"/>
    <w:qFormat/>
    <w:uiPriority w:val="0"/>
    <w:pPr>
      <w:adjustRightInd w:val="0"/>
      <w:ind w:firstLine="420" w:firstLineChars="200"/>
      <w:jc w:val="left"/>
      <w:textAlignment w:val="baseline"/>
    </w:pPr>
    <w:rPr>
      <w:rFonts w:ascii="等线" w:hAnsi="等线" w:eastAsia="等线" w:cs="等线"/>
      <w:kern w:val="0"/>
      <w:szCs w:val="20"/>
    </w:rPr>
  </w:style>
  <w:style w:type="paragraph" w:customStyle="1" w:styleId="10">
    <w:name w:val="Table Paragraph"/>
    <w:basedOn w:val="1"/>
    <w:qFormat/>
    <w:uiPriority w:val="0"/>
    <w:pPr>
      <w:autoSpaceDE w:val="0"/>
      <w:autoSpaceDN w:val="0"/>
      <w:jc w:val="left"/>
    </w:pPr>
    <w:rPr>
      <w:rFonts w:ascii="宋体" w:hAnsi="宋体" w:eastAsia="等线" w:cs="宋体"/>
      <w:kern w:val="0"/>
      <w:sz w:val="22"/>
      <w:szCs w:val="22"/>
    </w:rPr>
  </w:style>
  <w:style w:type="paragraph" w:customStyle="1" w:styleId="11">
    <w:name w:val="msolistparagraph"/>
    <w:basedOn w:val="1"/>
    <w:qFormat/>
    <w:uiPriority w:val="0"/>
    <w:pPr>
      <w:keepNext w:val="0"/>
      <w:keepLines w:val="0"/>
      <w:widowControl/>
      <w:suppressLineNumbers w:val="0"/>
      <w:spacing w:before="0" w:beforeAutospacing="0" w:after="0" w:afterAutospacing="0"/>
      <w:ind w:left="0" w:right="0" w:firstLine="420"/>
      <w:jc w:val="both"/>
    </w:pPr>
    <w:rPr>
      <w:rFonts w:hint="eastAsia" w:ascii="等线" w:hAnsi="等线" w:eastAsia="等线" w:cs="宋体"/>
      <w:kern w:val="0"/>
      <w:sz w:val="21"/>
      <w:szCs w:val="21"/>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35</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2022-04-14T01:39:00Z</dcterms:created>
  <dc:creator>ThinkPad</dc:creator>
  <cp:lastModifiedBy>孙松霞</cp:lastModifiedBy>
  <cp:lastPrinted>2023-11-17T06:45:00Z</cp:lastPrinted>
  <dcterms:modified xsi:type="dcterms:W3CDTF">2023-12-04T07:26:21Z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45AADD0CB19340BDB07B37E65DD577FB_13</vt:lpwstr>
  </property>
</Properties>
</file>